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7"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广州校区2021-2024年北校园图书馆弱电系统维护保养服务</w:t>
      </w:r>
      <w:r>
        <w:rPr>
          <w:rFonts w:hint="eastAsia" w:ascii="黑体" w:eastAsia="黑体"/>
          <w:b/>
          <w:color w:val="auto"/>
          <w:sz w:val="52"/>
          <w:szCs w:val="52"/>
        </w:rPr>
        <w:t>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6"/>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auto"/>
          <w:sz w:val="32"/>
          <w:szCs w:val="32"/>
        </w:rPr>
        <w:t>202</w:t>
      </w:r>
      <w:r>
        <w:rPr>
          <w:rFonts w:hint="eastAsia" w:ascii="宋体" w:hAnsi="宋体"/>
          <w:color w:val="auto"/>
          <w:sz w:val="32"/>
          <w:szCs w:val="32"/>
          <w:lang w:val="en-US" w:eastAsia="zh-CN"/>
        </w:rPr>
        <w:t>1</w:t>
      </w:r>
      <w:r>
        <w:rPr>
          <w:rFonts w:ascii="宋体" w:hAnsi="宋体"/>
          <w:color w:val="auto"/>
          <w:sz w:val="32"/>
          <w:szCs w:val="32"/>
        </w:rPr>
        <w:t>年</w:t>
      </w:r>
      <w:r>
        <w:rPr>
          <w:rFonts w:hint="eastAsia" w:ascii="宋体" w:hAnsi="宋体"/>
          <w:color w:val="auto"/>
          <w:sz w:val="32"/>
          <w:szCs w:val="32"/>
          <w:lang w:val="en-US" w:eastAsia="zh-CN"/>
        </w:rPr>
        <w:t>7</w:t>
      </w:r>
      <w:r>
        <w:rPr>
          <w:rFonts w:ascii="宋体" w:hAnsi="宋体"/>
          <w:color w:val="auto"/>
          <w:sz w:val="32"/>
          <w:szCs w:val="32"/>
        </w:rPr>
        <w:t>月</w:t>
      </w:r>
      <w:r>
        <w:rPr>
          <w:rFonts w:hint="eastAsia" w:ascii="宋体" w:hAnsi="宋体"/>
          <w:color w:val="auto"/>
          <w:sz w:val="32"/>
          <w:szCs w:val="32"/>
          <w:lang w:val="en-US" w:eastAsia="zh-CN"/>
        </w:rPr>
        <w:t>19</w:t>
      </w:r>
      <w:r>
        <w:rPr>
          <w:rFonts w:hint="eastAsia" w:ascii="宋体" w:hAnsi="宋体"/>
          <w:color w:val="auto"/>
          <w:sz w:val="32"/>
          <w:szCs w:val="32"/>
        </w:rPr>
        <w:t>日</w:t>
      </w:r>
      <w:r>
        <w:rPr>
          <w:rFonts w:hint="eastAsia" w:ascii="宋体" w:hAnsi="宋体"/>
          <w:color w:val="000000"/>
          <w:sz w:val="32"/>
          <w:szCs w:val="32"/>
        </w:rPr>
        <w:t xml:space="preserve"> 发布</w:t>
      </w:r>
      <w:r>
        <w:rPr>
          <w:rFonts w:ascii="宋体" w:hAnsi="宋体"/>
          <w:color w:val="000000"/>
          <w:sz w:val="23"/>
          <w:szCs w:val="23"/>
        </w:rPr>
        <w:br w:type="column"/>
      </w:r>
      <w:r>
        <w:rPr>
          <w:rFonts w:hint="eastAsia"/>
          <w:b/>
          <w:sz w:val="32"/>
          <w:szCs w:val="23"/>
        </w:rPr>
        <w:t>温馨提示</w:t>
      </w:r>
    </w:p>
    <w:p>
      <w:pPr>
        <w:pStyle w:val="93"/>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8</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1</w:t>
      </w:r>
      <w:r>
        <w:rPr>
          <w:rFonts w:hint="eastAsia" w:ascii="宋体" w:hAnsi="宋体"/>
          <w:b/>
          <w:bCs/>
          <w:sz w:val="24"/>
          <w:szCs w:val="23"/>
          <w:u w:val="single"/>
          <w:lang w:val="en-US" w:eastAsia="zh-CN"/>
        </w:rPr>
        <w:t>0</w:t>
      </w:r>
      <w:r>
        <w:rPr>
          <w:rFonts w:hint="eastAsia" w:ascii="宋体" w:hAnsi="宋体" w:eastAsia="宋体" w:cs="Times New Roman"/>
          <w:sz w:val="24"/>
          <w:szCs w:val="23"/>
        </w:rPr>
        <w:t>页“3.3.</w:t>
      </w:r>
      <w:r>
        <w:rPr>
          <w:rFonts w:hint="eastAsia" w:ascii="宋体" w:hAnsi="宋体" w:eastAsia="宋体" w:cs="Times New Roman"/>
          <w:sz w:val="24"/>
          <w:szCs w:val="23"/>
          <w:lang w:val="en-US" w:eastAsia="zh-CN"/>
        </w:rPr>
        <w:t>4</w:t>
      </w:r>
      <w:r>
        <w:rPr>
          <w:rFonts w:hint="eastAsia" w:ascii="宋体" w:hAnsi="宋体" w:eastAsia="宋体" w:cs="Times New Roman"/>
          <w:sz w:val="24"/>
          <w:szCs w:val="23"/>
        </w:rPr>
        <w:t>.1”条款及“3.3.5.2”条款要求投标人所提交的投标文件须</w:t>
      </w:r>
      <w:r>
        <w:rPr>
          <w:rFonts w:hint="eastAsia" w:ascii="宋体" w:hAnsi="宋体" w:eastAsia="宋体" w:cs="Times New Roman"/>
          <w:b/>
          <w:bCs/>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b/>
          <w:bCs/>
          <w:sz w:val="24"/>
          <w:szCs w:val="23"/>
          <w:u w:val="single"/>
        </w:rPr>
        <w:t>“正本”或“副本”</w:t>
      </w:r>
      <w:r>
        <w:rPr>
          <w:rFonts w:hint="eastAsia" w:ascii="宋体" w:hAnsi="宋体" w:eastAsia="宋体" w:cs="Times New Roman"/>
          <w:b/>
          <w:bCs/>
          <w:sz w:val="24"/>
          <w:szCs w:val="23"/>
        </w:rPr>
        <w:t>，</w:t>
      </w:r>
      <w:r>
        <w:rPr>
          <w:rFonts w:hint="eastAsia" w:ascii="宋体" w:hAnsi="宋体" w:eastAsia="宋体" w:cs="Times New Roman"/>
          <w:sz w:val="24"/>
          <w:szCs w:val="23"/>
        </w:rPr>
        <w:t>须</w:t>
      </w:r>
      <w:r>
        <w:rPr>
          <w:rFonts w:hint="eastAsia" w:ascii="宋体" w:hAnsi="宋体" w:eastAsia="宋体" w:cs="Times New Roman"/>
          <w:b/>
          <w:bCs/>
          <w:sz w:val="24"/>
          <w:szCs w:val="23"/>
          <w:u w:val="single"/>
        </w:rPr>
        <w:t>密封完好</w:t>
      </w:r>
      <w:r>
        <w:rPr>
          <w:rFonts w:hint="eastAsia" w:ascii="宋体" w:hAnsi="宋体" w:eastAsia="宋体" w:cs="Times New Roman"/>
          <w:sz w:val="24"/>
          <w:szCs w:val="23"/>
        </w:rPr>
        <w:t>。</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0</w:t>
      </w:r>
      <w:r>
        <w:rPr>
          <w:rFonts w:hint="eastAsia" w:ascii="宋体" w:hAnsi="宋体" w:eastAsia="宋体" w:cs="Times New Roman"/>
          <w:sz w:val="24"/>
          <w:szCs w:val="23"/>
        </w:rPr>
        <w:t>页“6.1投标函”为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2</w:t>
      </w:r>
      <w:r>
        <w:rPr>
          <w:rFonts w:hint="eastAsia" w:ascii="宋体" w:hAnsi="宋体" w:eastAsia="宋体" w:cs="Times New Roman"/>
          <w:sz w:val="24"/>
          <w:szCs w:val="23"/>
        </w:rPr>
        <w:t>页“6.2价格文件”为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b/>
          <w:bCs/>
          <w:sz w:val="24"/>
          <w:szCs w:val="23"/>
        </w:rPr>
        <w:t>，</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0</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7</w:t>
      </w:r>
      <w:r>
        <w:rPr>
          <w:rFonts w:hint="eastAsia" w:ascii="宋体" w:hAnsi="宋体" w:eastAsia="宋体" w:cs="Times New Roman"/>
          <w:sz w:val="24"/>
          <w:szCs w:val="23"/>
        </w:rPr>
        <w:t>法定代表人证明书”为必要文件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1</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8</w:t>
      </w:r>
      <w:r>
        <w:rPr>
          <w:rFonts w:hint="eastAsia" w:ascii="宋体" w:hAnsi="宋体" w:eastAsia="宋体" w:cs="Times New Roman"/>
          <w:sz w:val="24"/>
          <w:szCs w:val="23"/>
        </w:rPr>
        <w:t>授权委托书”为必要文件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b/>
          <w:bCs/>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b/>
          <w:bCs/>
          <w:sz w:val="24"/>
          <w:szCs w:val="23"/>
          <w:u w:val="single"/>
        </w:rPr>
        <w:t>代理人亲笔签名</w:t>
      </w:r>
      <w:r>
        <w:rPr>
          <w:rFonts w:hint="eastAsia" w:ascii="宋体" w:hAnsi="宋体" w:eastAsia="宋体" w:cs="Times New Roman"/>
          <w:sz w:val="24"/>
          <w:szCs w:val="23"/>
        </w:rPr>
        <w:t>,否则，作无效处理。</w:t>
      </w:r>
    </w:p>
    <w:p>
      <w:pPr>
        <w:pStyle w:val="93"/>
        <w:adjustRightInd w:val="0"/>
        <w:snapToGrid w:val="0"/>
        <w:spacing w:line="400" w:lineRule="exact"/>
        <w:ind w:firstLine="0" w:firstLineChars="0"/>
        <w:jc w:val="left"/>
        <w:rPr>
          <w:rFonts w:ascii="宋体" w:hAnsi="宋体" w:eastAsia="宋体" w:cs="Times New Roman"/>
          <w:sz w:val="24"/>
          <w:szCs w:val="23"/>
        </w:rPr>
      </w:pPr>
    </w:p>
    <w:p>
      <w:pPr>
        <w:pStyle w:val="26"/>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rPr>
          <w:color w:val="000000"/>
          <w:sz w:val="23"/>
          <w:szCs w:val="23"/>
        </w:rPr>
      </w:pPr>
    </w:p>
    <w:p>
      <w:pPr>
        <w:spacing w:line="360" w:lineRule="auto"/>
        <w:jc w:val="center"/>
        <w:rPr>
          <w:b/>
          <w:bCs w:val="0"/>
          <w:color w:val="auto"/>
          <w:sz w:val="32"/>
          <w:szCs w:val="32"/>
        </w:rPr>
      </w:pPr>
      <w:r>
        <w:rPr>
          <w:rFonts w:hint="eastAsia"/>
          <w:b/>
          <w:bCs w:val="0"/>
          <w:color w:val="auto"/>
          <w:sz w:val="32"/>
          <w:szCs w:val="32"/>
        </w:rPr>
        <w:t>目录</w:t>
      </w:r>
    </w:p>
    <w:p>
      <w:pPr>
        <w:pStyle w:val="3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fldChar w:fldCharType="begin"/>
      </w:r>
      <w:r>
        <w:instrText xml:space="preserve"> PAGEREF _Toc26680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fldChar w:fldCharType="begin"/>
      </w:r>
      <w:r>
        <w:instrText xml:space="preserve"> PAGEREF _Toc25426 \h </w:instrText>
      </w:r>
      <w:r>
        <w:fldChar w:fldCharType="separate"/>
      </w:r>
      <w:r>
        <w:t>11</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16</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23</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39</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3"/>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根据《后勤处采购管理实施办法》有关规定，我处拟通过公开招标方式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项目</w:t>
      </w:r>
      <w:r>
        <w:rPr>
          <w:rFonts w:hint="eastAsia" w:asciiTheme="minorEastAsia" w:hAnsiTheme="minorEastAsia" w:eastAsiaTheme="minorEastAsia"/>
          <w:spacing w:val="-6"/>
          <w:sz w:val="24"/>
          <w:szCs w:val="24"/>
        </w:rPr>
        <w:t>选定供应商</w:t>
      </w:r>
      <w:r>
        <w:rPr>
          <w:rFonts w:hint="eastAsia" w:asciiTheme="minorEastAsia" w:hAnsiTheme="minorEastAsia" w:eastAsiaTheme="minorEastAsia"/>
          <w:sz w:val="24"/>
          <w:szCs w:val="24"/>
        </w:rPr>
        <w:t>。欢迎符合资格条件的供应商前来投标。有关事宜如下：</w:t>
      </w:r>
    </w:p>
    <w:p>
      <w:pPr>
        <w:numPr>
          <w:ilvl w:val="0"/>
          <w:numId w:val="2"/>
        </w:numPr>
        <w:tabs>
          <w:tab w:val="left" w:pos="0"/>
        </w:tabs>
        <w:spacing w:line="520" w:lineRule="exact"/>
        <w:ind w:hanging="54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w:t>
      </w:r>
      <w:r>
        <w:rPr>
          <w:rFonts w:hint="eastAsia" w:asciiTheme="minorEastAsia" w:hAnsiTheme="minorEastAsia" w:eastAsiaTheme="minorEastAsia"/>
          <w:sz w:val="24"/>
          <w:szCs w:val="24"/>
          <w:lang w:val="en-US" w:eastAsia="zh-CN"/>
        </w:rPr>
        <w:t xml:space="preserve">                      </w:t>
      </w:r>
      <w:r>
        <w:rPr>
          <w:rFonts w:hint="eastAsia"/>
        </w:rPr>
        <w:t>目</w:t>
      </w:r>
    </w:p>
    <w:p>
      <w:pPr>
        <w:numPr>
          <w:ilvl w:val="0"/>
          <w:numId w:val="2"/>
        </w:numPr>
        <w:tabs>
          <w:tab w:val="left" w:pos="0"/>
        </w:tabs>
        <w:spacing w:line="520" w:lineRule="exact"/>
        <w:ind w:hanging="540"/>
        <w:rPr>
          <w:rFonts w:asciiTheme="minorEastAsia" w:hAnsiTheme="minorEastAsia" w:eastAsiaTheme="minorEastAsia"/>
          <w:color w:val="auto"/>
          <w:sz w:val="24"/>
          <w:szCs w:val="24"/>
        </w:rPr>
      </w:pPr>
      <w:r>
        <w:rPr>
          <w:rFonts w:hint="eastAsia" w:asciiTheme="minorEastAsia" w:hAnsiTheme="minorEastAsia" w:eastAsiaTheme="minorEastAsia"/>
          <w:bCs/>
          <w:sz w:val="24"/>
          <w:szCs w:val="24"/>
        </w:rPr>
        <w:t>投标最高控制价：</w:t>
      </w:r>
      <w:r>
        <w:rPr>
          <w:rFonts w:hint="eastAsia" w:cs="仿宋_GB2312" w:asciiTheme="minorEastAsia" w:hAnsiTheme="minorEastAsia" w:eastAsiaTheme="minorEastAsia"/>
          <w:color w:val="auto"/>
          <w:sz w:val="24"/>
          <w:szCs w:val="24"/>
          <w:lang w:val="en-US" w:eastAsia="zh-CN"/>
        </w:rPr>
        <w:t>190418</w:t>
      </w:r>
      <w:r>
        <w:rPr>
          <w:rFonts w:hint="eastAsia" w:cs="仿宋_GB2312" w:asciiTheme="minorEastAsia" w:hAnsiTheme="minorEastAsia" w:eastAsiaTheme="minorEastAsia"/>
          <w:color w:val="auto"/>
          <w:sz w:val="24"/>
          <w:szCs w:val="24"/>
        </w:rPr>
        <w:t>元</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1.3.1递交投标文件时间：202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上</w:t>
      </w:r>
      <w:r>
        <w:rPr>
          <w:rFonts w:hint="eastAsia" w:asciiTheme="minorEastAsia" w:hAnsiTheme="minorEastAsia" w:eastAsiaTheme="minorEastAsia"/>
          <w:sz w:val="24"/>
          <w:szCs w:val="24"/>
        </w:rPr>
        <w:t>午9点-</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 xml:space="preserve">点 </w:t>
      </w:r>
    </w:p>
    <w:p>
      <w:pPr>
        <w:spacing w:line="52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1.3.2</w:t>
      </w:r>
      <w:r>
        <w:rPr>
          <w:rFonts w:asciiTheme="minorEastAsia" w:hAnsiTheme="minorEastAsia" w:eastAsiaTheme="minorEastAsia"/>
          <w:sz w:val="24"/>
          <w:szCs w:val="24"/>
        </w:rPr>
        <w:t>投标截止时间：</w:t>
      </w: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23</w:t>
      </w:r>
      <w:r>
        <w:rPr>
          <w:rFonts w:hint="eastAsia" w:asciiTheme="minorEastAsia" w:hAnsiTheme="minorEastAsia" w:eastAsiaTheme="minorEastAsia"/>
          <w:color w:val="auto"/>
          <w:sz w:val="24"/>
          <w:szCs w:val="24"/>
        </w:rPr>
        <w:t>日上午</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点整</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凡与本项目相关的澄清、变更、以及中标公示、成交结果等信息均发布在广东财经大学后勤处</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和学校公告栏。如有不一致，以发布在广东财经大学后勤处网站的文本为准。</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老师，办公电话：020-84096</w:t>
      </w:r>
      <w:r>
        <w:rPr>
          <w:rFonts w:hint="eastAsia" w:ascii="宋体" w:hAnsi="宋体" w:cs="Tahoma"/>
          <w:b/>
          <w:color w:val="000000"/>
          <w:sz w:val="24"/>
          <w:lang w:val="en-US" w:eastAsia="zh-CN"/>
        </w:rPr>
        <w:t>609</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2"/>
        </w:numPr>
        <w:tabs>
          <w:tab w:val="left" w:pos="0"/>
        </w:tabs>
        <w:spacing w:line="520" w:lineRule="exact"/>
        <w:ind w:hanging="540"/>
        <w:rPr>
          <w:rFonts w:hint="eastAsia" w:ascii="宋体" w:hAnsi="宋体"/>
          <w:b/>
          <w:color w:val="000000"/>
          <w:sz w:val="24"/>
        </w:rPr>
      </w:pPr>
      <w:r>
        <w:rPr>
          <w:rFonts w:hint="eastAsia" w:ascii="宋体" w:hAnsi="宋体"/>
          <w:b/>
          <w:color w:val="000000"/>
          <w:sz w:val="24"/>
        </w:rPr>
        <w:t>注意事项</w:t>
      </w:r>
    </w:p>
    <w:p>
      <w:pPr>
        <w:pStyle w:val="168"/>
        <w:spacing w:line="500" w:lineRule="exact"/>
        <w:ind w:left="1391"/>
        <w:rPr>
          <w:rFonts w:hint="eastAsia" w:ascii="宋体" w:hAnsi="宋体" w:eastAsia="宋体" w:cs="宋体"/>
          <w:sz w:val="24"/>
          <w:szCs w:val="24"/>
          <w:shd w:val="clear" w:color="auto" w:fill="FFFFFF"/>
          <w:lang w:val="zh-TW" w:eastAsia="zh-TW"/>
        </w:rPr>
      </w:pPr>
      <w:r>
        <w:rPr>
          <w:rFonts w:hint="eastAsia" w:ascii="宋体" w:hAnsi="宋体" w:eastAsia="宋体"/>
          <w:sz w:val="24"/>
          <w:szCs w:val="24"/>
        </w:rPr>
        <w:t>因疫情防控需要，投标人进入学校及投标须满足以下条件：</w:t>
      </w:r>
    </w:p>
    <w:p>
      <w:pPr>
        <w:pStyle w:val="168"/>
        <w:numPr>
          <w:ilvl w:val="0"/>
          <w:numId w:val="3"/>
        </w:numPr>
        <w:spacing w:line="500" w:lineRule="exact"/>
        <w:rPr>
          <w:rFonts w:hint="eastAsia" w:ascii="宋体" w:hAnsi="宋体" w:eastAsia="宋体"/>
          <w:b/>
          <w:bCs/>
          <w:sz w:val="24"/>
          <w:szCs w:val="24"/>
          <w:lang w:val="en-US" w:eastAsia="zh-CN"/>
        </w:rPr>
      </w:pPr>
      <w:r>
        <w:rPr>
          <w:rFonts w:hint="eastAsia" w:ascii="宋体" w:hAnsi="宋体" w:eastAsia="宋体"/>
          <w:sz w:val="24"/>
          <w:szCs w:val="24"/>
        </w:rPr>
        <w:t>投标人须提前在微信小程序“粤省事”粤康码健康申报功能中如实登记个人近期旅居史、接触史、身体健康状况、来粤方式等情况。须持</w:t>
      </w:r>
      <w:r>
        <w:rPr>
          <w:rFonts w:hint="eastAsia" w:ascii="宋体" w:hAnsi="宋体" w:eastAsia="宋体"/>
          <w:b/>
          <w:sz w:val="24"/>
          <w:szCs w:val="24"/>
        </w:rPr>
        <w:t>粤康码电子健康码绿码</w:t>
      </w:r>
      <w:r>
        <w:rPr>
          <w:rFonts w:hint="eastAsia" w:ascii="宋体" w:hAnsi="宋体" w:eastAsia="宋体"/>
          <w:sz w:val="24"/>
          <w:szCs w:val="24"/>
        </w:rPr>
        <w:t>。</w:t>
      </w:r>
      <w:r>
        <w:rPr>
          <w:rFonts w:hint="eastAsia" w:ascii="宋体" w:hAnsi="宋体" w:eastAsia="宋体"/>
          <w:sz w:val="24"/>
          <w:szCs w:val="24"/>
          <w:lang w:val="en-US" w:eastAsia="zh-CN"/>
        </w:rPr>
        <w:t>请各投标人提前一天联系：余</w:t>
      </w:r>
      <w:r>
        <w:rPr>
          <w:rFonts w:hint="eastAsia" w:ascii="宋体" w:hAnsi="宋体" w:eastAsia="宋体"/>
          <w:sz w:val="24"/>
          <w:szCs w:val="24"/>
          <w:lang w:eastAsia="zh-CN"/>
        </w:rPr>
        <w:t>老师</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联系电话：020-8409</w:t>
      </w:r>
      <w:r>
        <w:rPr>
          <w:rFonts w:hint="eastAsia" w:ascii="宋体" w:hAnsi="宋体" w:eastAsia="宋体"/>
          <w:sz w:val="24"/>
          <w:szCs w:val="24"/>
          <w:lang w:val="en-US" w:eastAsia="zh-CN"/>
        </w:rPr>
        <w:t>6609/15625015507。进行入校投标报备。</w:t>
      </w:r>
      <w:r>
        <w:rPr>
          <w:rFonts w:hint="eastAsia" w:ascii="宋体" w:hAnsi="宋体" w:eastAsia="宋体"/>
          <w:b/>
          <w:bCs/>
          <w:sz w:val="24"/>
          <w:szCs w:val="24"/>
          <w:lang w:val="en-US" w:eastAsia="zh-CN"/>
        </w:rPr>
        <w:t>不按规定，无法入校，责任自担。</w:t>
      </w:r>
    </w:p>
    <w:p>
      <w:pPr>
        <w:pStyle w:val="168"/>
        <w:numPr>
          <w:ilvl w:val="0"/>
          <w:numId w:val="3"/>
        </w:numPr>
        <w:spacing w:line="500" w:lineRule="exact"/>
        <w:rPr>
          <w:rFonts w:hint="eastAsia" w:ascii="宋体" w:hAnsi="宋体"/>
          <w:b/>
          <w:sz w:val="24"/>
        </w:rPr>
      </w:pPr>
      <w:r>
        <w:rPr>
          <w:rFonts w:hint="eastAsia" w:ascii="宋体" w:hAnsi="宋体" w:eastAsia="宋体"/>
          <w:sz w:val="24"/>
          <w:szCs w:val="24"/>
        </w:rPr>
        <w:t>投标人须遵守学校疫情防控相关要求，有序进学校，不聚集聊天，与人保持间隔1米以上。同时，投标人均应主动出示粤康码等电子健康码绿码，接受体温检测，并</w:t>
      </w:r>
      <w:r>
        <w:rPr>
          <w:rFonts w:hint="eastAsia" w:ascii="宋体" w:hAnsi="宋体" w:eastAsia="宋体"/>
          <w:b/>
          <w:sz w:val="24"/>
          <w:szCs w:val="24"/>
        </w:rPr>
        <w:t>全程佩戴一次性医用口罩</w:t>
      </w:r>
      <w:r>
        <w:rPr>
          <w:rFonts w:hint="eastAsia" w:ascii="宋体" w:hAnsi="宋体" w:eastAsia="宋体"/>
          <w:sz w:val="24"/>
          <w:szCs w:val="24"/>
        </w:rPr>
        <w:t>。如粤康码等电子健康码为红码、黄码或体温≥37.3℃，不得进入学校。</w:t>
      </w:r>
    </w:p>
    <w:p>
      <w:pPr>
        <w:pStyle w:val="168"/>
        <w:numPr>
          <w:ilvl w:val="0"/>
          <w:numId w:val="3"/>
        </w:numPr>
        <w:spacing w:line="500" w:lineRule="exact"/>
        <w:rPr>
          <w:rFonts w:asciiTheme="minorEastAsia" w:hAnsiTheme="minorEastAsia" w:eastAsiaTheme="minorEastAsia"/>
          <w:sz w:val="23"/>
          <w:szCs w:val="23"/>
        </w:rPr>
      </w:pPr>
      <w:r>
        <w:rPr>
          <w:rFonts w:hint="eastAsia" w:ascii="宋体" w:hAnsi="宋体" w:eastAsia="宋体"/>
          <w:sz w:val="24"/>
          <w:szCs w:val="24"/>
          <w:lang w:val="en-US" w:eastAsia="zh-CN"/>
        </w:rPr>
        <w:t>递交投标文件</w:t>
      </w:r>
      <w:r>
        <w:rPr>
          <w:rFonts w:hint="eastAsia" w:ascii="宋体" w:hAnsi="宋体" w:eastAsia="宋体"/>
          <w:sz w:val="24"/>
          <w:szCs w:val="24"/>
        </w:rPr>
        <w:t>结束后，投标人应立即离开学校。</w:t>
      </w:r>
    </w:p>
    <w:p>
      <w:pPr>
        <w:numPr>
          <w:ilvl w:val="0"/>
          <w:numId w:val="2"/>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020-8409</w:t>
            </w:r>
            <w:r>
              <w:rPr>
                <w:rFonts w:hint="eastAsia" w:asciiTheme="minorEastAsia" w:hAnsiTheme="minorEastAsia" w:eastAsiaTheme="minorEastAsia"/>
                <w:sz w:val="24"/>
                <w:szCs w:val="24"/>
                <w:lang w:val="en-US" w:eastAsia="zh-CN"/>
              </w:rPr>
              <w:t>6609</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广东财经大学后勤处（广州市海珠区仑头路21号门诊楼404）</w:t>
            </w:r>
          </w:p>
        </w:tc>
      </w:tr>
    </w:tbl>
    <w:p>
      <w:pPr>
        <w:pStyle w:val="3"/>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11" w:type="first"/>
          <w:headerReference r:id="rId9" w:type="default"/>
          <w:footerReference r:id="rId10"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_Toc298325850"/>
      <w:bookmarkStart w:id="3" w:name="OLE_LINK44"/>
    </w:p>
    <w:p>
      <w:pPr>
        <w:pStyle w:val="3"/>
        <w:bidi w:val="0"/>
      </w:pPr>
      <w:bookmarkStart w:id="4" w:name="_Toc21471"/>
      <w:r>
        <w:rPr>
          <w:rFonts w:hint="eastAsia"/>
        </w:rPr>
        <w:t>第二部分  项目内容及需求</w:t>
      </w:r>
      <w:bookmarkEnd w:id="1"/>
      <w:bookmarkEnd w:id="4"/>
    </w:p>
    <w:bookmarkEnd w:id="2"/>
    <w:bookmarkEnd w:id="3"/>
    <w:p>
      <w:pPr>
        <w:pStyle w:val="5"/>
        <w:bidi w:val="0"/>
      </w:pPr>
      <w:bookmarkStart w:id="5" w:name="_Toc476156708"/>
      <w:bookmarkStart w:id="6" w:name="_Toc26680"/>
      <w:bookmarkStart w:id="7" w:name="_Toc475456405"/>
      <w:bookmarkStart w:id="8" w:name="_Toc475463106"/>
      <w:bookmarkStart w:id="9" w:name="_Toc477536152"/>
      <w:bookmarkStart w:id="10" w:name="_Toc475462268"/>
      <w:r>
        <w:rPr>
          <w:rFonts w:hint="eastAsia"/>
        </w:rPr>
        <w:t>2.1 项目概况</w:t>
      </w:r>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bookmarkStart w:id="11" w:name="_Toc475463107"/>
      <w:bookmarkStart w:id="12" w:name="_Toc475462269"/>
      <w:bookmarkStart w:id="13" w:name="_Toc476156709"/>
      <w:bookmarkStart w:id="14" w:name="_Toc475456406"/>
      <w:bookmarkStart w:id="15" w:name="_Toc477536153"/>
      <w:r>
        <w:rPr>
          <w:rFonts w:hint="eastAsia" w:ascii="宋体" w:hAnsi="宋体" w:eastAsia="宋体" w:cs="Times New Roman"/>
          <w:b/>
          <w:bCs/>
          <w:color w:val="000000"/>
          <w:kern w:val="2"/>
          <w:sz w:val="24"/>
          <w:szCs w:val="24"/>
          <w:lang w:val="en-US" w:eastAsia="zh-CN" w:bidi="ar-SA"/>
        </w:rPr>
        <w:t>2.1.1  项目范围：</w:t>
      </w:r>
      <w:r>
        <w:rPr>
          <w:rFonts w:hint="eastAsia" w:ascii="宋体" w:hAnsi="宋体" w:eastAsia="宋体" w:cs="Times New Roman"/>
          <w:color w:val="000000"/>
          <w:kern w:val="2"/>
          <w:sz w:val="24"/>
          <w:szCs w:val="24"/>
          <w:lang w:val="en-US" w:eastAsia="zh-CN" w:bidi="ar-SA"/>
        </w:rPr>
        <w:t>本项目是为广东财经大学广州校区北校园图书馆的弱电系统提供维护保养服务，保障系统正常运行，提高使用效率，降低运行费用，减少设备使用故障率，延长设备使用寿命，避免弱电系统故障对师生科研和学习造成不利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2.1.2  维保服务内容：</w:t>
      </w:r>
      <w:r>
        <w:rPr>
          <w:rFonts w:hint="eastAsia" w:ascii="宋体" w:hAnsi="宋体" w:eastAsia="宋体" w:cs="Times New Roman"/>
          <w:color w:val="000000"/>
          <w:kern w:val="2"/>
          <w:sz w:val="24"/>
          <w:szCs w:val="24"/>
          <w:lang w:val="en-US" w:eastAsia="zh-CN" w:bidi="ar-SA"/>
        </w:rPr>
        <w:t>包括综合布线系统、背景音乐系统、门禁系统、建筑设备节能系统、信息引导系统和照明系统等弱电系统设备的日常巡视、维修、保养、检测检修等。投标人须对本项目进行整体响应，任何只对其中一部分内容进行的响应都被视为无效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2.1.3  维保服务期：</w:t>
      </w:r>
      <w:r>
        <w:rPr>
          <w:rFonts w:hint="eastAsia" w:ascii="宋体" w:hAnsi="宋体" w:eastAsia="宋体" w:cs="Times New Roman"/>
          <w:b w:val="0"/>
          <w:bCs w:val="0"/>
          <w:color w:val="000000"/>
          <w:kern w:val="2"/>
          <w:sz w:val="24"/>
          <w:szCs w:val="24"/>
          <w:lang w:val="en-US" w:eastAsia="zh-CN" w:bidi="ar-SA"/>
        </w:rPr>
        <w:t>自合同签订之日起叁年。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2.1.4  图书馆弱电系统维保工程量清单及保养需求</w:t>
      </w:r>
    </w:p>
    <w:tbl>
      <w:tblPr>
        <w:tblStyle w:val="43"/>
        <w:tblW w:w="0" w:type="auto"/>
        <w:tblInd w:w="0" w:type="dxa"/>
        <w:tblLayout w:type="fixed"/>
        <w:tblCellMar>
          <w:top w:w="15" w:type="dxa"/>
          <w:left w:w="15" w:type="dxa"/>
          <w:bottom w:w="15" w:type="dxa"/>
          <w:right w:w="15" w:type="dxa"/>
        </w:tblCellMar>
      </w:tblPr>
      <w:tblGrid>
        <w:gridCol w:w="1080"/>
        <w:gridCol w:w="1576"/>
        <w:gridCol w:w="1185"/>
        <w:gridCol w:w="1440"/>
        <w:gridCol w:w="1614"/>
        <w:gridCol w:w="1614"/>
      </w:tblGrid>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序号</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设备名称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数量</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月保养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季保养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宋体"/>
                <w:b/>
                <w:bCs/>
                <w:color w:val="000000"/>
                <w:kern w:val="0"/>
                <w:sz w:val="24"/>
                <w:lang w:val="en-US" w:eastAsia="zh-CN" w:bidi="ar"/>
              </w:rPr>
            </w:pPr>
            <w:r>
              <w:rPr>
                <w:rFonts w:hint="eastAsia" w:ascii="仿宋_GB2312" w:hAnsi="宋体" w:eastAsia="仿宋_GB2312" w:cs="宋体"/>
                <w:b/>
                <w:bCs/>
                <w:color w:val="000000"/>
                <w:kern w:val="0"/>
                <w:sz w:val="24"/>
                <w:lang w:val="en-US" w:eastAsia="zh-CN" w:bidi="ar"/>
              </w:rPr>
              <w:t>半年保养</w:t>
            </w: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（一）综合布线系统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数据模块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语音模块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（二）背景音乐系统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MP3播放机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CD/DVD播放机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AM/FM接收机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卡座录音机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功放</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吸顶扬声器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（三）门禁系统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发卡机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读卡器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门磁开关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电控锁</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开关按钮</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（四）建筑设备节能系统（</w:t>
            </w:r>
            <w:r>
              <w:rPr>
                <w:rFonts w:hint="eastAsia" w:ascii="仿宋_GB2312" w:hAnsi="宋体" w:eastAsia="仿宋_GB2312" w:cs="宋体"/>
                <w:color w:val="000000"/>
                <w:kern w:val="0"/>
                <w:sz w:val="24"/>
                <w:lang w:bidi="ar"/>
              </w:rPr>
              <w:t>一年六次，4、5、6、</w:t>
            </w:r>
            <w:r>
              <w:rPr>
                <w:rFonts w:hint="eastAsia" w:ascii="仿宋_GB2312" w:hAnsi="宋体" w:eastAsia="仿宋_GB2312" w:cs="宋体"/>
                <w:color w:val="000000"/>
                <w:kern w:val="0"/>
                <w:sz w:val="24"/>
                <w:lang w:val="en-US" w:eastAsia="zh-CN" w:bidi="ar"/>
              </w:rPr>
              <w:t>7</w:t>
            </w:r>
            <w:r>
              <w:rPr>
                <w:rFonts w:hint="eastAsia" w:ascii="仿宋_GB2312" w:hAnsi="宋体" w:eastAsia="仿宋_GB2312" w:cs="宋体"/>
                <w:color w:val="000000"/>
                <w:kern w:val="0"/>
                <w:sz w:val="24"/>
                <w:lang w:bidi="ar"/>
              </w:rPr>
              <w:t>、9、10月</w:t>
            </w:r>
            <w:r>
              <w:rPr>
                <w:rFonts w:hint="eastAsia" w:ascii="仿宋_GB2312" w:hAnsi="宋体" w:eastAsia="仿宋_GB2312" w:cs="宋体"/>
                <w:b/>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接口网关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DDC控制器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风机盘管开关面板</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网络控制器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交换机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9</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风管温度传感器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245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浸入式温度传感器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CO2传感器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湿度传感器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流量传感器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控制箱</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（五）信息引导系统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中央管理系统</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p>
        </w:tc>
      </w:tr>
      <w:tr>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LED条屏</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（六）照明系统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主控器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控制模块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（七）软件</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广播系统平台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rPr>
          <w:trHeight w:val="4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门禁系统平台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建筑设备监控系统平台软件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照明系统平台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bl>
    <w:p>
      <w:pPr>
        <w:spacing w:line="360" w:lineRule="auto"/>
        <w:rPr>
          <w:rFonts w:hint="eastAsia" w:ascii="仿宋_GB2312" w:hAnsi="宋体" w:eastAsia="仿宋_GB2312"/>
          <w:b/>
          <w:bCs/>
          <w:sz w:val="24"/>
        </w:rPr>
      </w:pPr>
      <w:r>
        <w:rPr>
          <w:rFonts w:hint="eastAsia" w:ascii="仿宋_GB2312" w:eastAsia="仿宋_GB2312"/>
          <w:b/>
          <w:bCs/>
          <w:kern w:val="28"/>
          <w:sz w:val="24"/>
        </w:rPr>
        <w:t>说明：</w:t>
      </w:r>
      <w:r>
        <w:rPr>
          <w:rFonts w:hint="eastAsia" w:ascii="仿宋_GB2312" w:hAnsi="宋体" w:eastAsia="仿宋_GB2312" w:cs="宋体"/>
          <w:b/>
          <w:bCs/>
          <w:kern w:val="0"/>
          <w:sz w:val="24"/>
        </w:rPr>
        <w:t>○表示需要做这项工作。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2.1.5  项目总体要求</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1. </w:t>
      </w:r>
      <w:r>
        <w:rPr>
          <w:rFonts w:hint="eastAsia" w:ascii="宋体" w:hAnsi="宋体"/>
          <w:color w:val="000000"/>
          <w:sz w:val="24"/>
          <w:szCs w:val="24"/>
          <w:lang w:val="en-US" w:eastAsia="zh-CN"/>
        </w:rPr>
        <w:t>投标人应对所有的招标内容进行投标，不允许只对部分内容进行投标。</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2. </w:t>
      </w:r>
      <w:r>
        <w:rPr>
          <w:rFonts w:hint="eastAsia" w:ascii="宋体" w:hAnsi="宋体"/>
          <w:color w:val="000000"/>
          <w:sz w:val="24"/>
          <w:szCs w:val="24"/>
          <w:lang w:val="en-US" w:eastAsia="zh-CN"/>
        </w:rPr>
        <w:t>图书馆的弱电系统设备设施的具体品牌、规格、型号、数量等，以现场实际情况为准。维保费用，在全面满足本项目需求的基础上，已包含校区全部弱电系统设备设施的维护、保养、税费、技术指导、检测、润滑、清洁、单次维修200元（含）以内的设备材料费、以及完成技术服务需求全部工作的全部费用。供应商漏报的单价或每单价报价中漏报、少报的费用，视为此项费用已包含在投标报价中，中标后不得再向采购人收取任何费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3.</w:t>
      </w:r>
      <w:r>
        <w:rPr>
          <w:rFonts w:hint="eastAsia"/>
          <w:sz w:val="24"/>
          <w:szCs w:val="24"/>
          <w:lang w:val="en-US" w:eastAsia="zh-CN"/>
        </w:rPr>
        <w:t xml:space="preserve"> </w:t>
      </w:r>
      <w:r>
        <w:rPr>
          <w:rFonts w:hint="eastAsia" w:ascii="宋体" w:hAnsi="宋体" w:eastAsia="宋体" w:cs="Times New Roman"/>
          <w:color w:val="000000"/>
          <w:kern w:val="2"/>
          <w:sz w:val="24"/>
          <w:szCs w:val="24"/>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p>
      <w:pPr>
        <w:pStyle w:val="2"/>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供应商不得将委托管理项目转包给第三方管理，不允许分包或转包管理责任和管理事宜。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 xml:space="preserve">2.1.6  维护保养服务的技术服务要求 </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 </w:t>
      </w:r>
      <w:r>
        <w:rPr>
          <w:rFonts w:hint="eastAsia" w:ascii="宋体" w:hAnsi="宋体" w:eastAsia="宋体" w:cs="Times New Roman"/>
          <w:color w:val="000000"/>
          <w:kern w:val="2"/>
          <w:sz w:val="24"/>
          <w:szCs w:val="24"/>
          <w:lang w:val="en-US" w:eastAsia="zh-CN" w:bidi="ar-SA"/>
        </w:rPr>
        <w:t>中标人在维保期内应严格执行设备的维护保养有关要求，确保设备安全、可靠、高效运行，做好维修和维护保养的工作，并能通过相关职能部门的各项检查。</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2. </w:t>
      </w:r>
      <w:r>
        <w:rPr>
          <w:rFonts w:hint="eastAsia" w:ascii="宋体" w:hAnsi="宋体" w:eastAsia="宋体" w:cs="Times New Roman"/>
          <w:color w:val="000000"/>
          <w:kern w:val="2"/>
          <w:sz w:val="24"/>
          <w:szCs w:val="24"/>
          <w:lang w:val="en-US" w:eastAsia="zh-CN" w:bidi="ar-SA"/>
        </w:rPr>
        <w:t>中标人每次检测或维保工作完毕后出具维护保养项目工作单，并经采购人代表签章认可。</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04" w:firstLineChars="209"/>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3. </w:t>
      </w:r>
      <w:r>
        <w:rPr>
          <w:rFonts w:hint="eastAsia" w:ascii="宋体" w:hAnsi="宋体" w:eastAsia="宋体" w:cs="Times New Roman"/>
          <w:color w:val="000000"/>
          <w:kern w:val="2"/>
          <w:sz w:val="24"/>
          <w:szCs w:val="24"/>
          <w:lang w:val="en-US" w:eastAsia="zh-CN" w:bidi="ar-SA"/>
        </w:rPr>
        <w:t>中标人需提供7*24小时抢修响应服务，在维保期内弱电系统运行出现故障，中标人需在接到通知后2小时内到现场进行维修处理，小故障在接报后4小时内修复；如系统发生重大故障不能正常运行的，中标人应尽快确诊，提出书面维修方案报采购方审批，并在人力物力许可的情况下尽快修复；同时应做好相应的临时补救措施，并有书面记录存查。</w:t>
      </w:r>
    </w:p>
    <w:p>
      <w:pPr>
        <w:spacing w:line="360" w:lineRule="auto"/>
        <w:ind w:firstLine="482" w:firstLineChars="200"/>
        <w:jc w:val="left"/>
        <w:rPr>
          <w:rFonts w:hint="eastAsia" w:ascii="仿宋" w:hAnsi="仿宋" w:eastAsia="仿宋" w:cs="Times New Roman"/>
          <w:bCs/>
          <w:sz w:val="24"/>
          <w:szCs w:val="24"/>
          <w:lang w:val="en-US" w:eastAsia="zh-CN"/>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中标人要确定至少2名维修人员负责本维保的24小时联络、组织、技术咨询工作，并对维保范围内的弱电系统负维护保养责任。在维修保养过程中提供技术服务，按本用户需求的维修保养具体内容负责对设备进行认真的测试、维护，确保采购人设备安全、可靠、高效、无故障运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6. </w:t>
      </w:r>
      <w:r>
        <w:rPr>
          <w:rFonts w:hint="eastAsia" w:ascii="宋体" w:hAnsi="宋体" w:eastAsia="宋体" w:cs="Times New Roman"/>
          <w:color w:val="000000"/>
          <w:kern w:val="2"/>
          <w:sz w:val="24"/>
          <w:szCs w:val="24"/>
          <w:lang w:val="en-US" w:eastAsia="zh-CN" w:bidi="ar-SA"/>
        </w:rPr>
        <w:t>维修人员严格执行国家有关维修保养规范要求，做好各项维修和维护保养记录。</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7. </w:t>
      </w:r>
      <w:r>
        <w:rPr>
          <w:rFonts w:hint="eastAsia" w:ascii="宋体" w:hAnsi="宋体" w:eastAsia="宋体" w:cs="Times New Roman"/>
          <w:color w:val="000000"/>
          <w:kern w:val="2"/>
          <w:sz w:val="24"/>
          <w:szCs w:val="24"/>
          <w:lang w:val="en-US" w:eastAsia="zh-CN" w:bidi="ar-SA"/>
        </w:rPr>
        <w:t>服务人员配置：投标时须提供本项目人员架构图及相关的资质证书复印件。</w:t>
      </w:r>
    </w:p>
    <w:p>
      <w:pPr>
        <w:pStyle w:val="2"/>
        <w:ind w:left="0" w:leftChars="0" w:firstLine="504" w:firstLineChars="209"/>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8. </w:t>
      </w:r>
      <w:r>
        <w:rPr>
          <w:rFonts w:hint="eastAsia" w:ascii="宋体" w:hAnsi="宋体" w:eastAsia="宋体" w:cs="Times New Roman"/>
          <w:color w:val="000000"/>
          <w:kern w:val="2"/>
          <w:sz w:val="24"/>
          <w:szCs w:val="24"/>
          <w:lang w:val="en-US" w:eastAsia="zh-CN" w:bidi="ar-SA"/>
        </w:rPr>
        <w:t>中标人负责对维保人员进行礼貌教育，进入采购人工作区域时应遵守采购人的各项管理制度，服从采购人管理，如有违反按采购人的管理规定处罚。</w:t>
      </w:r>
    </w:p>
    <w:p>
      <w:pPr>
        <w:spacing w:line="360" w:lineRule="auto"/>
        <w:ind w:left="0" w:leftChars="0"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9. </w:t>
      </w:r>
      <w:r>
        <w:rPr>
          <w:rFonts w:hint="eastAsia" w:ascii="宋体" w:hAnsi="宋体" w:eastAsia="宋体" w:cs="Times New Roman"/>
          <w:color w:val="000000"/>
          <w:kern w:val="2"/>
          <w:sz w:val="24"/>
          <w:szCs w:val="24"/>
          <w:lang w:val="en-US" w:eastAsia="zh-CN" w:bidi="ar-SA"/>
        </w:rPr>
        <w:t>中标人的维修人员到现场应遵守采购人有关管理制度，如损坏采购人其它设施及财产，中标人应无条件负责恢复原状，并承担相关费用。</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10. </w:t>
      </w:r>
      <w:r>
        <w:rPr>
          <w:rFonts w:hint="eastAsia" w:ascii="宋体" w:hAnsi="宋体" w:eastAsia="宋体" w:cs="Times New Roman"/>
          <w:color w:val="000000"/>
          <w:kern w:val="2"/>
          <w:sz w:val="24"/>
          <w:szCs w:val="24"/>
          <w:lang w:val="en-US" w:eastAsia="zh-CN" w:bidi="ar-SA"/>
        </w:rPr>
        <w:t>合同结束前，投标人应针对采购人设备作一份状况分析，交采购人有关人员签字确认备案。合同期满后中标人必须按接收专用工具设备、图纸等清单移交给采购人，并保证设备完好。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b/>
          <w:color w:val="auto"/>
          <w:sz w:val="24"/>
          <w:szCs w:val="24"/>
          <w:lang w:val="en-US" w:eastAsia="zh-CN"/>
        </w:rPr>
        <w:t>11.</w:t>
      </w:r>
      <w:r>
        <w:rPr>
          <w:rFonts w:hint="eastAsia" w:ascii="宋体" w:hAnsi="宋体"/>
          <w:b w:val="0"/>
          <w:bCs/>
          <w:color w:val="auto"/>
          <w:sz w:val="24"/>
          <w:szCs w:val="24"/>
          <w:lang w:val="en-US" w:eastAsia="zh-CN"/>
        </w:rPr>
        <w:t>服务档案记录：</w:t>
      </w:r>
      <w:r>
        <w:rPr>
          <w:rFonts w:hint="eastAsia" w:ascii="宋体" w:hAnsi="宋体" w:eastAsia="宋体" w:cs="Times New Roman"/>
          <w:color w:val="auto"/>
          <w:kern w:val="2"/>
          <w:sz w:val="24"/>
          <w:szCs w:val="24"/>
          <w:lang w:val="en-US" w:eastAsia="zh-CN" w:bidi="ar-SA"/>
        </w:rPr>
        <w:t>承包人针对每次巡检、保养及抢修设备的过程均记录详细的数据资料，并与采购方相关负责人员最终签字确认，记录资料主要包括有巡检记录表、保养记录表和维修记录表。合同期满后，承包人将完整的维保、维修档案材料移交给采购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2.1.7 维护保养标准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▲维护保养项目日常例行检修工作要求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投标人提供每周一次的定期</w:t>
      </w:r>
      <w:r>
        <w:rPr>
          <w:rFonts w:hint="eastAsia" w:ascii="宋体" w:hAnsi="宋体" w:cs="Times New Roman"/>
          <w:color w:val="000000"/>
          <w:kern w:val="2"/>
          <w:sz w:val="24"/>
          <w:szCs w:val="24"/>
          <w:lang w:val="en-US" w:eastAsia="zh-CN" w:bidi="ar-SA"/>
        </w:rPr>
        <w:t>检修维护</w:t>
      </w:r>
      <w:r>
        <w:rPr>
          <w:rFonts w:hint="eastAsia" w:ascii="宋体" w:hAnsi="宋体" w:eastAsia="宋体" w:cs="Times New Roman"/>
          <w:color w:val="000000"/>
          <w:kern w:val="2"/>
          <w:sz w:val="24"/>
          <w:szCs w:val="24"/>
          <w:lang w:val="en-US" w:eastAsia="zh-CN" w:bidi="ar-SA"/>
        </w:rPr>
        <w:t>，时间不少于1个工作日。由投保人派技术员现场开展</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维护工作，定期</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维护后出具书面报告给采购人主管部门代表签名确认，每周一次例行检修主要工作内容包括∶</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1.检查各弱电子系统服务器的运行是否正常；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2.检查各弱电子系统的通讯是否正常；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3.检查各软件及服务的升级与更新；</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4.数据库文件的定期清理及备份；</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5.设备台账的更新与维护；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6.模式的更新与维护。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7.设备的维修和更换等。</w:t>
      </w:r>
    </w:p>
    <w:p>
      <w:pPr>
        <w:spacing w:line="360" w:lineRule="auto"/>
        <w:ind w:firstLine="480" w:firstLineChars="200"/>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▲定期保养要求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1.综合布线系统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（1）每月一次设备的除尘、清理，扫净设备显露的尘土，对机架，交换机等部件要彻底吹风除尘，防止由于交换机运转、静电等因素将尘土吸入机体内，确保机器正常运行；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（2）清洁设备尘土，保持设备清洁；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（3）检查信息跳线紧固情况，如有松动或脱落，应及时更换或紧固；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（4）整理表面凌乱的信息跳线,去除过期的废线；</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（5）检查机房配线架；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（6）检查弱电井内配线架和内网的服务器，外网交换机；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（7）检查弱电井到前端模块线路，接头处包扎是否完好，室外线路是否有破损。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2.背景音乐系统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（1）抽查2处分区广播是否正常；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（2）检查机房设备：机房广播系统外观是否正常；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（3）每月检查主机电脑性能，进行磁盘清理。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（4）季度检查现场设备工作状态，进行必要的调整检测。</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（5）年度保养：更换易损备件、历史数据检查归。</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3.门禁系统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（1）电控锁功能应有效，工作正常，应防拆；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（2）出入口数据处理设备应齐全有效；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（3）读卡器应清洁、功能有效；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（4）电控锁确保机械和电机正常。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4.建筑设备节能系统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（1）控制器各期间状态是否正常；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（2）设备箱关闭是否良好、是否积水；</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（3）控制线内部是否存在异常翻动；</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（4）可控制开关是否正常；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（5）每周对相关软件进行检查，检查运行性能，清除数据垃圾，进行升级处理；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（6）系统每月进行一次巡查，检查工作情况；</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(7)月度保养：更换易损备件、历史数据检查归档。</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5.信息引导系统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（1）led显示屏屏幕进行除尘；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（2）检查是否正常工作，如不工作要及时维修或更换；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（3）检查线路有无损坏，线路有损坏要及时修补或者更换；</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6.照明控制系统</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zh-CN" w:eastAsia="zh-CN" w:bidi="ar-SA"/>
        </w:rPr>
        <w:t>）检查灯光开关控制器模块外观及内外环境是否正常；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）检查灯光开关控制器模块接线端子、线路连接状态；</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zh-CN" w:eastAsia="zh-CN" w:bidi="ar-SA"/>
        </w:rPr>
        <w:t>）检查灯光开关控制器模块输入信号是否正常；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kern w:val="2"/>
          <w:sz w:val="24"/>
          <w:szCs w:val="24"/>
          <w:lang w:val="zh-CN" w:eastAsia="zh-CN" w:bidi="ar-SA"/>
        </w:rPr>
        <w:t>）检查灯光开关控制器模块输出信号状态及测量数据状态。</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r>
        <w:rPr>
          <w:rFonts w:hint="eastAsia" w:ascii="宋体" w:hAnsi="宋体" w:eastAsia="宋体" w:cs="Times New Roman"/>
          <w:color w:val="000000"/>
          <w:kern w:val="2"/>
          <w:sz w:val="24"/>
          <w:szCs w:val="24"/>
          <w:lang w:val="en-US" w:eastAsia="zh-CN" w:bidi="ar-SA"/>
        </w:rPr>
        <w:t>▲理论培训</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zh-CN" w:eastAsia="zh-CN" w:bidi="ar-SA"/>
        </w:rPr>
        <w:t>投标方在提供维护保养的同时，需提供专业技术的培训服务，培训内容包括弱电自控的运行原理，基本操作和维护保养说明和常见问题应急解决方案，培训为一年一次。</w:t>
      </w:r>
    </w:p>
    <w:p>
      <w:pPr>
        <w:pStyle w:val="5"/>
        <w:bidi w:val="0"/>
        <w:rPr>
          <w:rFonts w:hint="default"/>
          <w:lang w:val="en-US" w:eastAsia="zh-CN"/>
        </w:rPr>
      </w:pPr>
      <w:bookmarkStart w:id="16" w:name="_Toc25426"/>
      <w:r>
        <w:rPr>
          <w:rFonts w:hint="eastAsia"/>
          <w:lang w:val="en-US" w:eastAsia="zh-CN"/>
        </w:rPr>
        <w:t>2.2 商务要求</w:t>
      </w:r>
      <w:bookmarkEnd w:id="16"/>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sz w:val="24"/>
          <w:szCs w:val="24"/>
          <w:lang w:val="en-US" w:eastAsia="zh-CN"/>
        </w:rPr>
      </w:pPr>
      <w:r>
        <w:rPr>
          <w:rFonts w:hint="eastAsia" w:ascii="宋体" w:hAnsi="宋体"/>
          <w:b/>
          <w:color w:val="000000"/>
          <w:sz w:val="24"/>
          <w:szCs w:val="24"/>
          <w:lang w:val="en-US" w:eastAsia="zh-CN"/>
        </w:rPr>
        <w:t>2.2.1 服务地点： 广东财经大学广州校区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color w:val="000000"/>
          <w:sz w:val="24"/>
          <w:szCs w:val="24"/>
          <w:lang w:val="en-US" w:eastAsia="zh-CN"/>
        </w:rPr>
      </w:pPr>
      <w:r>
        <w:rPr>
          <w:rFonts w:hint="eastAsia" w:ascii="宋体" w:hAnsi="宋体"/>
          <w:b/>
          <w:color w:val="000000"/>
          <w:sz w:val="24"/>
          <w:szCs w:val="24"/>
          <w:lang w:val="en-US" w:eastAsia="zh-CN"/>
        </w:rPr>
        <w:t>2.2.2 履约保证金：</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en-US" w:eastAsia="zh-CN" w:bidi="ar-SA"/>
        </w:rPr>
        <w:t>中标人在双方签订合同后10个工作日内，以支票或银行转账的方式向采购人提交履约保证金。履约保证金额为1万元。若中标人在合同期限内无违约行为或致采购人利益受损行为的，则履约保证金在合同有效期满后15个工作日内由采购人无息退还。</w:t>
      </w:r>
    </w:p>
    <w:p>
      <w:pPr>
        <w:pStyle w:val="2"/>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2.2.3 结算与付款方式：</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1.合同签订后，每半年支付一次，每次支付年度维保合同总额的50%。供应商需提供合法等额增值税发票给采购人。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2.如遇节假日或学校寒暑假期，支付时间相应顺延，具体以学校财务部门办理时限为准。</w:t>
      </w:r>
    </w:p>
    <w:p>
      <w:pPr>
        <w:pStyle w:val="2"/>
        <w:rPr>
          <w:rFonts w:hint="default" w:ascii="宋体" w:hAnsi="宋体"/>
          <w:b/>
          <w:color w:val="000000"/>
          <w:sz w:val="24"/>
          <w:szCs w:val="24"/>
          <w:lang w:val="en-US" w:eastAsia="zh-CN"/>
        </w:rPr>
      </w:pPr>
      <w:r>
        <w:rPr>
          <w:rFonts w:hint="eastAsia" w:ascii="宋体" w:hAnsi="宋体"/>
          <w:b/>
          <w:color w:val="000000"/>
          <w:sz w:val="24"/>
          <w:szCs w:val="24"/>
          <w:lang w:val="en-US" w:eastAsia="zh-CN"/>
        </w:rPr>
        <w:t>2.2.4 违约责任：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1.如中标人维保工作不能达到本项目维护保养服务内容及要求及国家相关规定的标准，采购人有权终止合同并没收全部履约保证金。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2.如中标人应急抢修服务响应时间不能达到合同要求，扣除履约保证金2000元/次；如三次不能达到合同要求，采购人有权终止合同并没收全部履约保证金。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3.如中标人实施保养维护时违反操作安全规程，玩忽职守，造成事故或设备损坏的，中标人应承担全部赔偿责任，采购人有权终止合同并没收全部履约保证金。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4.如中标人采取欺瞒手段，欺骗采购人更换设备的，中标人应承担全部赔偿责任，采购人有权终止合同并没收全部履约保证金。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5.如中标人采购的设备（配件）以次充好、属于不合格产品，给采购人造成的一切后果及损失，由中标人承担责任和负责赔偿，采购人有权终止合同和没收全部履约保证金，并追究供应商相关法律责任。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6.如中标人员工出现违法、违纪、违规行为，给采购人造成的一切后果及损失，由中标人承担责任和负责赔偿，采购人有权终止合同和没收全部履约保证金，并追究供应商相关法律责任。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7.维保合同期末，供应商必须无条件配合采购人做好移交工作。</w:t>
      </w:r>
    </w:p>
    <w:p>
      <w:pPr>
        <w:spacing w:line="360" w:lineRule="auto"/>
        <w:ind w:firstLine="320" w:firstLineChars="100"/>
        <w:rPr>
          <w:rFonts w:ascii="仿宋" w:hAnsi="仿宋" w:eastAsia="仿宋" w:cs="Times New Roman"/>
          <w:sz w:val="32"/>
          <w:szCs w:val="32"/>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bookmarkEnd w:id="11"/>
    <w:bookmarkEnd w:id="12"/>
    <w:bookmarkEnd w:id="13"/>
    <w:bookmarkEnd w:id="14"/>
    <w:bookmarkEnd w:id="15"/>
    <w:p>
      <w:pPr>
        <w:pStyle w:val="3"/>
        <w:bidi w:val="0"/>
      </w:pPr>
      <w:bookmarkStart w:id="17" w:name="_Toc20990"/>
      <w:r>
        <w:rPr>
          <w:rFonts w:hint="eastAsia"/>
        </w:rPr>
        <w:t>第三部分  投标人须知</w:t>
      </w:r>
      <w:bookmarkEnd w:id="17"/>
    </w:p>
    <w:p>
      <w:pPr>
        <w:pStyle w:val="5"/>
        <w:numPr>
          <w:ilvl w:val="0"/>
          <w:numId w:val="4"/>
        </w:numPr>
        <w:bidi w:val="0"/>
      </w:pPr>
      <w:bookmarkStart w:id="18" w:name="_Toc275435949"/>
      <w:bookmarkStart w:id="19" w:name="_Toc3261"/>
      <w:bookmarkStart w:id="20" w:name="_Toc298325851"/>
      <w:r>
        <w:rPr>
          <w:rFonts w:hint="eastAsia"/>
        </w:rPr>
        <w:t>说明</w:t>
      </w:r>
      <w:bookmarkEnd w:id="18"/>
      <w:bookmarkEnd w:id="19"/>
      <w:bookmarkEnd w:id="20"/>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必须具有对公银行账户（投标时提供证明文件，并加盖投标人公章）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lang w:val="en-US" w:eastAsia="zh-CN"/>
        </w:rPr>
        <w:t>3.1.3.4</w:t>
      </w:r>
      <w:r>
        <w:rPr>
          <w:rFonts w:hint="eastAsia" w:asciiTheme="minorEastAsia" w:hAnsiTheme="minorEastAsia" w:eastAsiaTheme="minorEastAsia"/>
          <w:color w:val="auto"/>
          <w:sz w:val="23"/>
          <w:szCs w:val="23"/>
        </w:rPr>
        <w:t>本项目招标不接受联合体投标。</w:t>
      </w:r>
    </w:p>
    <w:p/>
    <w:p>
      <w:pPr>
        <w:pStyle w:val="5"/>
        <w:numPr>
          <w:ilvl w:val="0"/>
          <w:numId w:val="7"/>
        </w:numPr>
        <w:tabs>
          <w:tab w:val="left" w:pos="0"/>
        </w:tabs>
        <w:bidi w:val="0"/>
      </w:pPr>
      <w:bookmarkStart w:id="21" w:name="_Toc275435950"/>
      <w:bookmarkStart w:id="22" w:name="_Toc5163"/>
      <w:bookmarkStart w:id="23" w:name="_Toc324769693"/>
      <w:r>
        <w:rPr>
          <w:rFonts w:hint="eastAsia"/>
        </w:rPr>
        <w:t>招标文件</w:t>
      </w:r>
      <w:bookmarkEnd w:id="21"/>
      <w:bookmarkEnd w:id="22"/>
      <w:bookmarkEnd w:id="23"/>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7"/>
        </w:numPr>
        <w:tabs>
          <w:tab w:val="left" w:pos="0"/>
        </w:tabs>
        <w:bidi w:val="0"/>
      </w:pPr>
      <w:bookmarkStart w:id="24" w:name="_Toc324769694"/>
      <w:bookmarkStart w:id="25" w:name="_Toc13076"/>
      <w:bookmarkStart w:id="26" w:name="_Toc275435951"/>
      <w:r>
        <w:rPr>
          <w:rFonts w:hint="eastAsia"/>
        </w:rPr>
        <w:t>投标文件</w:t>
      </w:r>
      <w:bookmarkEnd w:id="24"/>
      <w:bookmarkEnd w:id="25"/>
      <w:bookmarkEnd w:id="26"/>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bidi w:val="0"/>
        <w:rPr>
          <w:color w:val="000000"/>
          <w:sz w:val="23"/>
          <w:szCs w:val="23"/>
        </w:rPr>
      </w:pPr>
      <w:bookmarkStart w:id="27" w:name="_Toc298325866"/>
      <w:bookmarkStart w:id="28" w:name="_Toc25131"/>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7"/>
      <w:bookmarkEnd w:id="28"/>
    </w:p>
    <w:p>
      <w:pPr>
        <w:pStyle w:val="5"/>
        <w:numPr>
          <w:ilvl w:val="0"/>
          <w:numId w:val="11"/>
        </w:numPr>
        <w:bidi w:val="0"/>
      </w:pPr>
      <w:bookmarkStart w:id="29" w:name="_Toc298325867"/>
      <w:bookmarkStart w:id="30" w:name="_Toc279072807"/>
      <w:bookmarkStart w:id="31" w:name="_Toc28444"/>
      <w:r>
        <w:rPr>
          <w:rFonts w:hint="eastAsia"/>
        </w:rPr>
        <w:t>评标方法</w:t>
      </w:r>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32" w:name="_Toc154"/>
      <w:r>
        <w:rPr>
          <w:rFonts w:hint="eastAsia"/>
          <w:lang w:val="en-US" w:eastAsia="zh-CN"/>
        </w:rPr>
        <w:t>4.2  资格性审查</w:t>
      </w:r>
      <w:bookmarkEnd w:id="32"/>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5"/>
        <w:bidi w:val="0"/>
        <w:rPr>
          <w:rFonts w:hint="eastAsia"/>
          <w:lang w:val="en-US" w:eastAsia="zh-CN"/>
        </w:rPr>
      </w:pPr>
      <w:bookmarkStart w:id="33" w:name="_Toc20060"/>
      <w:r>
        <w:rPr>
          <w:rFonts w:hint="eastAsia"/>
          <w:lang w:val="en-US" w:eastAsia="zh-CN"/>
        </w:rPr>
        <w:t>4.3  权重分配表</w:t>
      </w:r>
      <w:bookmarkEnd w:id="33"/>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5"/>
        <w:bidi w:val="0"/>
        <w:rPr>
          <w:rFonts w:hint="default"/>
          <w:lang w:val="en-US" w:eastAsia="zh-CN"/>
        </w:rPr>
      </w:pPr>
      <w:bookmarkStart w:id="34" w:name="_Toc7376"/>
      <w:r>
        <w:rPr>
          <w:rFonts w:hint="eastAsia"/>
          <w:lang w:val="en-US" w:eastAsia="zh-CN"/>
        </w:rPr>
        <w:t>4.4  评标标准</w:t>
      </w:r>
      <w:bookmarkEnd w:id="34"/>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13" w:type="first"/>
          <w:footerReference r:id="rId12"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必须具有对公银行账户（投标时提供证明文件，并加盖投标人公章）。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eastAsia="宋体" w:cs="Times New Roman"/>
                <w:kern w:val="2"/>
                <w:sz w:val="23"/>
                <w:szCs w:val="23"/>
                <w:lang w:val="en-US" w:eastAsia="zh-CN" w:bidi="ar-SA"/>
              </w:rPr>
            </w:pPr>
            <w:r>
              <w:rPr>
                <w:rFonts w:hint="eastAsia" w:ascii="宋体" w:hAnsi="宋体" w:cs="Times New Roman"/>
                <w:kern w:val="2"/>
                <w:sz w:val="23"/>
                <w:szCs w:val="23"/>
                <w:lang w:val="en-US" w:eastAsia="zh-CN" w:bidi="ar-SA"/>
              </w:rPr>
              <w:t>7</w:t>
            </w:r>
          </w:p>
        </w:tc>
        <w:tc>
          <w:tcPr>
            <w:tcW w:w="8144" w:type="dxa"/>
            <w:vAlign w:val="center"/>
          </w:tcPr>
          <w:p>
            <w:pPr>
              <w:adjustRightInd w:val="0"/>
              <w:snapToGrid w:val="0"/>
              <w:rPr>
                <w:rFonts w:hint="eastAsia" w:ascii="宋体" w:hAnsi="宋体" w:eastAsia="宋体" w:cs="Times New Roman"/>
                <w:color w:val="auto"/>
                <w:kern w:val="2"/>
                <w:sz w:val="23"/>
                <w:szCs w:val="23"/>
                <w:lang w:val="en-US" w:eastAsia="zh-CN" w:bidi="ar-SA"/>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模板见第37页6.6声明</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80" w:type="dxa"/>
            <w:gridSpan w:val="2"/>
            <w:vAlign w:val="center"/>
          </w:tcPr>
          <w:p>
            <w:pPr>
              <w:adjustRightInd w:val="0"/>
              <w:snapToGrid w:val="0"/>
              <w:ind w:firstLine="231" w:firstLineChars="100"/>
              <w:rPr>
                <w:rFonts w:hint="default" w:ascii="宋体" w:hAnsi="宋体" w:eastAsia="宋体"/>
                <w:color w:val="auto"/>
                <w:sz w:val="23"/>
                <w:szCs w:val="23"/>
                <w:lang w:val="en-US" w:eastAsia="zh-CN"/>
              </w:rPr>
            </w:pPr>
            <w:r>
              <w:rPr>
                <w:rFonts w:hint="eastAsia" w:ascii="宋体" w:hAnsi="宋体"/>
                <w:b/>
                <w:bCs/>
                <w:color w:val="auto"/>
                <w:sz w:val="23"/>
                <w:szCs w:val="23"/>
                <w:lang w:eastAsia="zh-CN"/>
              </w:rPr>
              <w:t>（</w:t>
            </w:r>
            <w:r>
              <w:rPr>
                <w:rFonts w:hint="eastAsia" w:ascii="宋体" w:hAnsi="宋体"/>
                <w:b/>
                <w:bCs/>
                <w:color w:val="auto"/>
                <w:sz w:val="23"/>
                <w:szCs w:val="23"/>
                <w:lang w:val="en-US" w:eastAsia="zh-CN"/>
              </w:rPr>
              <w:t>二</w:t>
            </w:r>
            <w:r>
              <w:rPr>
                <w:rFonts w:hint="eastAsia" w:ascii="宋体" w:hAnsi="宋体"/>
                <w:b/>
                <w:bCs/>
                <w:color w:val="auto"/>
                <w:sz w:val="23"/>
                <w:szCs w:val="23"/>
                <w:lang w:eastAsia="zh-CN"/>
              </w:rPr>
              <w:t>）</w:t>
            </w:r>
            <w:r>
              <w:rPr>
                <w:rFonts w:hint="eastAsia" w:ascii="宋体" w:hAnsi="宋体"/>
                <w:b/>
                <w:bCs/>
                <w:color w:val="auto"/>
                <w:sz w:val="23"/>
                <w:szCs w:val="23"/>
                <w:lang w:val="en-US" w:eastAsia="zh-CN"/>
              </w:rPr>
              <w:t>符合性审查</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b/>
                <w:color w:val="000000"/>
                <w:sz w:val="24"/>
              </w:rPr>
              <w:t>序号</w:t>
            </w:r>
          </w:p>
        </w:tc>
        <w:tc>
          <w:tcPr>
            <w:tcW w:w="8144" w:type="dxa"/>
            <w:vAlign w:val="center"/>
          </w:tcPr>
          <w:p>
            <w:pPr>
              <w:spacing w:line="0" w:lineRule="atLeast"/>
              <w:jc w:val="center"/>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b/>
                <w:color w:val="00000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1</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2</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20"/>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20"/>
              <w:spacing w:line="300" w:lineRule="auto"/>
              <w:ind w:firstLine="0"/>
              <w:rPr>
                <w:color w:val="000000"/>
                <w:kern w:val="2"/>
                <w:lang w:val="en-US" w:eastAsia="zh-CN"/>
              </w:rPr>
            </w:pPr>
            <w:r>
              <w:rPr>
                <w:rFonts w:hint="eastAsia"/>
                <w:color w:val="000000"/>
                <w:kern w:val="2"/>
                <w:lang w:val="en-US" w:eastAsia="zh-CN"/>
              </w:rPr>
              <w:t>2、以所有通过资格性与符合性审查的投标人的投标总价作为评审的依据，投标人价格得分评分方法如下：</w:t>
            </w:r>
          </w:p>
          <w:p>
            <w:pPr>
              <w:pStyle w:val="20"/>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4"/>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2"/>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2"/>
              <w:jc w:val="center"/>
              <w:rPr>
                <w:rFonts w:hint="eastAsia"/>
                <w:b/>
                <w:bCs/>
                <w:sz w:val="24"/>
                <w:szCs w:val="24"/>
                <w:vertAlign w:val="baseline"/>
                <w:lang w:val="en-US" w:eastAsia="zh-CN"/>
              </w:rPr>
            </w:pPr>
          </w:p>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2</w:t>
            </w:r>
            <w:r>
              <w:rPr>
                <w:rFonts w:hint="eastAsia" w:ascii="宋体" w:hAnsi="宋体"/>
                <w:color w:val="000000"/>
                <w:sz w:val="24"/>
                <w:szCs w:val="24"/>
              </w:rPr>
              <w:t>商务要求”的响应程度：优于的得</w:t>
            </w:r>
            <w:r>
              <w:rPr>
                <w:rFonts w:hint="eastAsia" w:ascii="宋体" w:hAnsi="宋体"/>
                <w:color w:val="000000"/>
                <w:sz w:val="24"/>
                <w:szCs w:val="24"/>
                <w:lang w:val="en-US" w:eastAsia="zh-CN"/>
              </w:rPr>
              <w:t>6</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（提供商务要求响应表，若商务要求中有要求提供证明材料的，需提供符合要求证明材料，否则视为负偏离。）</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8</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类似弱电系统维保服务项目的</w:t>
            </w:r>
            <w:r>
              <w:rPr>
                <w:rFonts w:hint="eastAsia" w:ascii="宋体" w:hAnsi="宋体"/>
                <w:color w:val="000000"/>
                <w:sz w:val="24"/>
                <w:szCs w:val="24"/>
              </w:rPr>
              <w:t>业绩：每个业绩得2分，最多得12分，不提供不得分。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ascii="宋体" w:hAnsi="宋体" w:eastAsia="宋体" w:cs="宋体"/>
                <w:kern w:val="2"/>
                <w:sz w:val="24"/>
                <w:szCs w:val="24"/>
                <w:vertAlign w:val="baseline"/>
                <w:lang w:val="en-US" w:eastAsia="zh-CN" w:bidi="ar-SA"/>
              </w:rPr>
              <w:t>纳税信用等级</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2018年以来</w:t>
            </w:r>
            <w:r>
              <w:rPr>
                <w:rFonts w:hint="eastAsia" w:ascii="宋体" w:hAnsi="宋体"/>
                <w:color w:val="auto"/>
                <w:sz w:val="24"/>
                <w:szCs w:val="24"/>
              </w:rPr>
              <w:t>获得银行或信用评估机构颁发的信用等级证书</w:t>
            </w:r>
            <w:r>
              <w:rPr>
                <w:rFonts w:hint="eastAsia" w:ascii="宋体" w:hAnsi="宋体"/>
                <w:color w:val="auto"/>
                <w:sz w:val="24"/>
                <w:szCs w:val="24"/>
                <w:lang w:val="en-US" w:eastAsia="zh-CN"/>
              </w:rPr>
              <w:t>或荣誉称号：连续3年</w:t>
            </w:r>
            <w:r>
              <w:rPr>
                <w:rFonts w:hint="eastAsia" w:ascii="宋体" w:hAnsi="宋体"/>
                <w:color w:val="auto"/>
                <w:sz w:val="24"/>
                <w:szCs w:val="24"/>
              </w:rPr>
              <w:t>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连续2年</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1年得1分，其他不得分。</w:t>
            </w:r>
            <w:r>
              <w:rPr>
                <w:rFonts w:hint="eastAsia" w:ascii="宋体" w:hAnsi="宋体"/>
                <w:color w:val="auto"/>
                <w:sz w:val="24"/>
                <w:szCs w:val="24"/>
              </w:rPr>
              <w:t>（注：提供有效证书复印件，并加盖投标人公章，否则不得分）。</w:t>
            </w:r>
          </w:p>
          <w:p>
            <w:pPr>
              <w:adjustRightInd w:val="0"/>
              <w:snapToGrid w:val="0"/>
              <w:rPr>
                <w:rFonts w:hint="eastAsia" w:ascii="宋体" w:hAnsi="宋体"/>
                <w:color w:val="auto"/>
                <w:sz w:val="24"/>
                <w:szCs w:val="24"/>
              </w:rPr>
            </w:pPr>
            <w:r>
              <w:rPr>
                <w:rFonts w:hint="eastAsia" w:ascii="宋体" w:hAnsi="宋体"/>
                <w:color w:val="auto"/>
                <w:sz w:val="24"/>
                <w:szCs w:val="24"/>
              </w:rPr>
              <w:t>2.投标人20</w:t>
            </w:r>
            <w:r>
              <w:rPr>
                <w:rFonts w:hint="eastAsia" w:ascii="宋体" w:hAnsi="宋体"/>
                <w:color w:val="auto"/>
                <w:sz w:val="24"/>
                <w:szCs w:val="24"/>
                <w:lang w:val="en-US" w:eastAsia="zh-CN"/>
              </w:rPr>
              <w:t>20</w:t>
            </w:r>
            <w:r>
              <w:rPr>
                <w:rFonts w:hint="eastAsia" w:ascii="宋体" w:hAnsi="宋体"/>
                <w:color w:val="auto"/>
                <w:sz w:val="24"/>
                <w:szCs w:val="24"/>
              </w:rPr>
              <w:t>年度，纳税信用等级评定为A级得</w:t>
            </w:r>
            <w:r>
              <w:rPr>
                <w:rFonts w:hint="eastAsia" w:ascii="宋体" w:hAnsi="宋体"/>
                <w:color w:val="auto"/>
                <w:sz w:val="24"/>
                <w:szCs w:val="24"/>
                <w:lang w:val="en-US" w:eastAsia="zh-CN"/>
              </w:rPr>
              <w:t>3</w:t>
            </w:r>
            <w:r>
              <w:rPr>
                <w:rFonts w:hint="eastAsia" w:ascii="宋体" w:hAnsi="宋体"/>
                <w:color w:val="auto"/>
                <w:sz w:val="24"/>
                <w:szCs w:val="24"/>
              </w:rPr>
              <w:t>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adjustRightInd w:val="0"/>
              <w:snapToGrid w:val="0"/>
              <w:rPr>
                <w:rFonts w:hint="default" w:ascii="宋体" w:hAnsi="宋体"/>
                <w:color w:val="000000"/>
                <w:sz w:val="21"/>
                <w:szCs w:val="21"/>
                <w:lang w:val="en-US" w:eastAsia="zh-CN"/>
              </w:rPr>
            </w:pPr>
            <w:r>
              <w:rPr>
                <w:rFonts w:hint="eastAsia" w:ascii="宋体" w:hAnsi="宋体"/>
                <w:color w:val="auto"/>
                <w:sz w:val="24"/>
                <w:szCs w:val="24"/>
              </w:rPr>
              <w:t xml:space="preserve">注：“新设立企业”指从首次在税务机关办理涉税事宜之日起时间不满一个评价年度的企业。评价年度是指公历年度，即1月1日至12月31日。 </w:t>
            </w:r>
          </w:p>
        </w:tc>
        <w:tc>
          <w:tcPr>
            <w:tcW w:w="885" w:type="dxa"/>
            <w:vAlign w:val="center"/>
          </w:tcPr>
          <w:p>
            <w:pPr>
              <w:adjustRightInd w:val="0"/>
              <w:snapToGrid w:val="0"/>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2"/>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2"/>
        <w:rPr>
          <w:rFonts w:hint="eastAsia"/>
        </w:rPr>
      </w:pPr>
    </w:p>
    <w:tbl>
      <w:tblPr>
        <w:tblStyle w:val="43"/>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145"/>
        <w:gridCol w:w="7040"/>
        <w:gridCol w:w="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792"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0" w:type="auto"/>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考察投标人对招标文件“2.</w:t>
            </w:r>
            <w:r>
              <w:rPr>
                <w:rFonts w:hint="eastAsia" w:ascii="宋体" w:hAnsi="宋体"/>
                <w:color w:val="000000"/>
                <w:szCs w:val="21"/>
                <w:lang w:val="en-US" w:eastAsia="zh-CN"/>
              </w:rPr>
              <w:t>1.4-2.1.7各条款</w:t>
            </w:r>
            <w:r>
              <w:rPr>
                <w:rFonts w:hint="eastAsia" w:ascii="宋体" w:hAnsi="宋体"/>
                <w:color w:val="000000"/>
                <w:szCs w:val="21"/>
              </w:rPr>
              <w:t>”的响应程度：所有条款优于的得</w:t>
            </w:r>
            <w:r>
              <w:rPr>
                <w:rFonts w:hint="eastAsia" w:ascii="宋体" w:hAnsi="宋体"/>
                <w:color w:val="000000"/>
                <w:szCs w:val="21"/>
                <w:lang w:val="en-US" w:eastAsia="zh-CN"/>
              </w:rPr>
              <w:t>12</w:t>
            </w:r>
            <w:r>
              <w:rPr>
                <w:rFonts w:hint="eastAsia" w:ascii="宋体" w:hAnsi="宋体"/>
                <w:color w:val="000000"/>
                <w:szCs w:val="21"/>
              </w:rPr>
              <w:t>分，</w:t>
            </w:r>
            <w:r>
              <w:rPr>
                <w:rFonts w:hint="eastAsia" w:ascii="宋体" w:hAnsi="宋体"/>
                <w:color w:val="000000"/>
                <w:szCs w:val="21"/>
                <w:lang w:val="en-US" w:eastAsia="zh-CN"/>
              </w:rPr>
              <w:t>完全满足的得6分；不完全满足的得0分。</w:t>
            </w:r>
          </w:p>
        </w:tc>
        <w:tc>
          <w:tcPr>
            <w:tcW w:w="792"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restart"/>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0" w:type="auto"/>
            <w:vMerge w:val="restart"/>
            <w:noWrap w:val="0"/>
            <w:vAlign w:val="center"/>
          </w:tcPr>
          <w:p>
            <w:pPr>
              <w:adjustRightInd w:val="0"/>
              <w:snapToGrid w:val="0"/>
              <w:jc w:val="center"/>
              <w:rPr>
                <w:rFonts w:hint="eastAsia" w:ascii="宋体" w:hAnsi="宋体"/>
                <w:szCs w:val="21"/>
              </w:rPr>
            </w:pPr>
            <w:r>
              <w:rPr>
                <w:rFonts w:hint="eastAsia" w:ascii="宋体" w:hAnsi="宋体"/>
                <w:szCs w:val="21"/>
              </w:rPr>
              <w:t>技术服务团队</w:t>
            </w:r>
          </w:p>
        </w:tc>
        <w:tc>
          <w:tcPr>
            <w:tcW w:w="0" w:type="auto"/>
            <w:noWrap w:val="0"/>
            <w:vAlign w:val="center"/>
          </w:tcPr>
          <w:p>
            <w:pPr>
              <w:adjustRightInd w:val="0"/>
              <w:snapToGrid w:val="0"/>
              <w:rPr>
                <w:rFonts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项目经理</w:t>
            </w:r>
            <w:r>
              <w:rPr>
                <w:rFonts w:hint="eastAsia" w:ascii="宋体" w:hAnsi="宋体"/>
                <w:color w:val="000000"/>
                <w:kern w:val="0"/>
                <w:szCs w:val="21"/>
              </w:rPr>
              <w:t>情况：</w:t>
            </w:r>
          </w:p>
          <w:p>
            <w:pPr>
              <w:adjustRightInd w:val="0"/>
              <w:snapToGrid w:val="0"/>
              <w:rPr>
                <w:rFonts w:ascii="宋体" w:hAnsi="宋体"/>
                <w:color w:val="auto"/>
                <w:kern w:val="0"/>
                <w:szCs w:val="21"/>
              </w:rPr>
            </w:pPr>
            <w:r>
              <w:rPr>
                <w:rFonts w:hint="eastAsia" w:ascii="宋体" w:hAnsi="宋体" w:cs="宋体"/>
                <w:color w:val="auto"/>
                <w:kern w:val="0"/>
                <w:szCs w:val="21"/>
              </w:rPr>
              <w:t>具备机电安装工程专业二级(含)以上注册建造师注册证书得2分，具有有效的安全生产考核合格证得2分，最高4分</w:t>
            </w:r>
            <w:r>
              <w:rPr>
                <w:rFonts w:hint="eastAsia" w:ascii="宋体" w:hAnsi="宋体"/>
                <w:color w:val="auto"/>
                <w:kern w:val="0"/>
                <w:szCs w:val="21"/>
              </w:rPr>
              <w:t>。</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须在社保缴纳证明文件上清晰标注出拟投入的项目经理人员的姓名所在的位置，否则不得分。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技术负责人</w:t>
            </w:r>
            <w:r>
              <w:rPr>
                <w:rFonts w:hint="eastAsia" w:ascii="宋体" w:hAnsi="宋体"/>
                <w:color w:val="000000"/>
                <w:kern w:val="0"/>
                <w:szCs w:val="21"/>
              </w:rPr>
              <w:t>情况：</w:t>
            </w:r>
          </w:p>
          <w:p>
            <w:pPr>
              <w:adjustRightInd w:val="0"/>
              <w:snapToGrid w:val="0"/>
              <w:rPr>
                <w:rFonts w:hint="eastAsia" w:ascii="宋体" w:hAnsi="宋体"/>
                <w:color w:val="auto"/>
                <w:kern w:val="0"/>
                <w:szCs w:val="21"/>
              </w:rPr>
            </w:pPr>
            <w:r>
              <w:rPr>
                <w:rFonts w:hint="eastAsia" w:ascii="宋体" w:hAnsi="宋体"/>
                <w:color w:val="auto"/>
                <w:kern w:val="0"/>
                <w:szCs w:val="21"/>
              </w:rPr>
              <w:t>具有电力、电气类工程师或以上资质，得</w:t>
            </w:r>
            <w:r>
              <w:rPr>
                <w:rFonts w:hint="eastAsia" w:ascii="宋体" w:hAnsi="宋体"/>
                <w:color w:val="auto"/>
                <w:kern w:val="0"/>
                <w:szCs w:val="21"/>
                <w:lang w:val="en-US" w:eastAsia="zh-CN"/>
              </w:rPr>
              <w:t>4</w:t>
            </w:r>
            <w:r>
              <w:rPr>
                <w:rFonts w:hint="eastAsia" w:ascii="宋体" w:hAnsi="宋体"/>
                <w:color w:val="auto"/>
                <w:kern w:val="0"/>
                <w:szCs w:val="21"/>
              </w:rPr>
              <w:t>分。</w:t>
            </w:r>
          </w:p>
          <w:p>
            <w:pPr>
              <w:adjustRightInd w:val="0"/>
              <w:snapToGrid w:val="0"/>
              <w:rPr>
                <w:rFonts w:hint="eastAsia" w:ascii="宋体" w:hAnsi="宋体"/>
                <w:color w:val="000000"/>
                <w:kern w:val="0"/>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须在社保缴纳证明文件上清晰标注出拟投入的技术负责人的姓名所在的位置，否则不得分。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2名</w:t>
            </w:r>
            <w:r>
              <w:rPr>
                <w:rFonts w:hint="eastAsia" w:ascii="宋体" w:hAnsi="宋体"/>
                <w:b/>
                <w:bCs/>
                <w:color w:val="000000"/>
                <w:kern w:val="0"/>
                <w:szCs w:val="21"/>
                <w:lang w:val="en-US" w:eastAsia="zh-CN"/>
              </w:rPr>
              <w:t>维修人员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持有人力资源和社会保障部门颁发的</w:t>
            </w:r>
            <w:r>
              <w:rPr>
                <w:rFonts w:hint="eastAsia" w:ascii="宋体" w:hAnsi="宋体" w:cs="宋体"/>
                <w:color w:val="auto"/>
                <w:kern w:val="0"/>
                <w:szCs w:val="21"/>
              </w:rPr>
              <w:t>电工职业资格证书：</w:t>
            </w:r>
            <w:r>
              <w:rPr>
                <w:rFonts w:ascii="宋体" w:hAnsi="宋体" w:cs="宋体"/>
                <w:color w:val="auto"/>
                <w:kern w:val="0"/>
                <w:szCs w:val="21"/>
              </w:rPr>
              <w:t>初级(五级)</w:t>
            </w:r>
            <w:r>
              <w:rPr>
                <w:rFonts w:hint="eastAsia" w:ascii="宋体" w:hAnsi="宋体" w:cs="宋体"/>
                <w:color w:val="auto"/>
                <w:kern w:val="0"/>
                <w:szCs w:val="21"/>
              </w:rPr>
              <w:t>得1分，</w:t>
            </w:r>
            <w:r>
              <w:rPr>
                <w:rFonts w:ascii="宋体" w:hAnsi="宋体" w:cs="宋体"/>
                <w:color w:val="auto"/>
                <w:kern w:val="0"/>
                <w:szCs w:val="21"/>
              </w:rPr>
              <w:t>中级(四级)</w:t>
            </w:r>
            <w:r>
              <w:rPr>
                <w:rFonts w:hint="eastAsia" w:ascii="宋体" w:hAnsi="宋体" w:cs="宋体"/>
                <w:color w:val="auto"/>
                <w:kern w:val="0"/>
                <w:szCs w:val="21"/>
              </w:rPr>
              <w:t>得3分，高级（三级）或以上得</w:t>
            </w:r>
            <w:r>
              <w:rPr>
                <w:rFonts w:hint="eastAsia" w:ascii="宋体" w:hAnsi="宋体" w:cs="宋体"/>
                <w:color w:val="auto"/>
                <w:kern w:val="0"/>
                <w:szCs w:val="21"/>
                <w:lang w:val="en-US" w:eastAsia="zh-CN"/>
              </w:rPr>
              <w:t>6</w:t>
            </w:r>
            <w:r>
              <w:rPr>
                <w:rFonts w:hint="eastAsia" w:ascii="宋体" w:hAnsi="宋体" w:cs="宋体"/>
                <w:color w:val="auto"/>
                <w:kern w:val="0"/>
                <w:szCs w:val="21"/>
              </w:rPr>
              <w:t>分，只提供1名或不提供的不得分，以所投</w:t>
            </w:r>
            <w:r>
              <w:rPr>
                <w:rFonts w:hint="eastAsia" w:ascii="宋体" w:hAnsi="宋体" w:cs="宋体"/>
                <w:color w:val="auto"/>
                <w:kern w:val="0"/>
                <w:szCs w:val="21"/>
                <w:lang w:val="en-US" w:eastAsia="zh-CN"/>
              </w:rPr>
              <w:t>维修人员</w:t>
            </w:r>
            <w:r>
              <w:rPr>
                <w:rFonts w:hint="eastAsia" w:ascii="宋体" w:hAnsi="宋体" w:cs="宋体"/>
                <w:color w:val="auto"/>
                <w:kern w:val="0"/>
                <w:szCs w:val="21"/>
              </w:rPr>
              <w:t>最低职业资格级别作为评审标准，该项最高得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color w:val="000000"/>
                <w:kern w:val="0"/>
                <w:szCs w:val="21"/>
              </w:rPr>
              <w:t>电工</w:t>
            </w:r>
            <w:r>
              <w:rPr>
                <w:rFonts w:hint="eastAsia" w:ascii="宋体" w:hAnsi="宋体"/>
                <w:b/>
                <w:color w:val="000000"/>
                <w:kern w:val="0"/>
                <w:szCs w:val="21"/>
              </w:rPr>
              <w:t>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937" w:type="dxa"/>
            <w:noWrap w:val="0"/>
            <w:vAlign w:val="center"/>
          </w:tcPr>
          <w:p>
            <w:pPr>
              <w:adjustRightInd w:val="0"/>
              <w:snapToGri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公司管理制度</w:t>
            </w:r>
          </w:p>
        </w:tc>
        <w:tc>
          <w:tcPr>
            <w:tcW w:w="6977"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投标人针对本项目</w:t>
            </w:r>
            <w:r>
              <w:rPr>
                <w:rFonts w:hint="eastAsia" w:ascii="宋体" w:hAnsi="宋体" w:cs="宋体"/>
                <w:color w:val="auto"/>
                <w:kern w:val="0"/>
                <w:szCs w:val="21"/>
                <w:lang w:val="en-US" w:eastAsia="zh-CN"/>
              </w:rPr>
              <w:t>的公司管理制度是否清晰、健全、规范，管理流程是否顺畅、高效等</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（1）公司内部管理制度非常清晰、健全、规范，管理流程非常顺畅、高效得6分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（2）公司内部管理制度清晰、健全、规范，管理流程顺畅、高效得4分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（3）公司内部管理制度较为清晰、健全、规范，管理流程较为顺畅、高效得2分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（4）其余一律不得分。</w:t>
            </w:r>
          </w:p>
        </w:tc>
        <w:tc>
          <w:tcPr>
            <w:tcW w:w="792"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0" w:type="auto"/>
            <w:noWrap w:val="0"/>
            <w:vAlign w:val="center"/>
          </w:tcPr>
          <w:p>
            <w:pPr>
              <w:adjustRightInd w:val="0"/>
              <w:snapToGrid w:val="0"/>
              <w:jc w:val="center"/>
              <w:rPr>
                <w:rFonts w:hint="eastAsia" w:ascii="宋体" w:hAnsi="宋体"/>
                <w:szCs w:val="21"/>
              </w:rPr>
            </w:pPr>
            <w:r>
              <w:rPr>
                <w:rFonts w:hint="eastAsia" w:ascii="宋体" w:hAnsi="宋体"/>
                <w:szCs w:val="21"/>
              </w:rPr>
              <w:t>维保方案</w:t>
            </w:r>
          </w:p>
        </w:tc>
        <w:tc>
          <w:tcPr>
            <w:tcW w:w="0" w:type="auto"/>
            <w:noWrap w:val="0"/>
            <w:vAlign w:val="center"/>
          </w:tcPr>
          <w:p>
            <w:pPr>
              <w:adjustRightInd w:val="0"/>
              <w:snapToGrid w:val="0"/>
              <w:jc w:val="left"/>
              <w:rPr>
                <w:rFonts w:hint="eastAsia" w:ascii="宋体" w:hAnsi="宋体"/>
                <w:szCs w:val="21"/>
              </w:rPr>
            </w:pPr>
            <w:r>
              <w:rPr>
                <w:rFonts w:hint="eastAsia" w:ascii="宋体" w:hAnsi="宋体"/>
                <w:szCs w:val="21"/>
              </w:rPr>
              <w:t>投标人针对本项目制定维保服务方案，主要包括管理制度（</w:t>
            </w:r>
            <w:r>
              <w:rPr>
                <w:rFonts w:hint="eastAsia" w:ascii="宋体" w:hAnsi="宋体" w:cs="宋体"/>
                <w:kern w:val="0"/>
                <w:szCs w:val="21"/>
              </w:rPr>
              <w:t>维保档案管理、综合协调方案等</w:t>
            </w:r>
            <w:r>
              <w:rPr>
                <w:rFonts w:hint="eastAsia" w:ascii="宋体" w:hAnsi="宋体"/>
                <w:szCs w:val="21"/>
              </w:rPr>
              <w:t>）、安全和文明服务及相关制度、人员安排、质保及</w:t>
            </w:r>
            <w:r>
              <w:rPr>
                <w:rFonts w:hint="eastAsia" w:ascii="宋体" w:hAnsi="宋体"/>
                <w:szCs w:val="21"/>
                <w:lang w:val="en-US" w:eastAsia="zh-CN"/>
              </w:rPr>
              <w:t>检修</w:t>
            </w:r>
            <w:r>
              <w:rPr>
                <w:rFonts w:hint="eastAsia" w:ascii="宋体" w:hAnsi="宋体"/>
                <w:szCs w:val="21"/>
              </w:rPr>
              <w:t>措施、服务响应措施、安全用电培训等。</w:t>
            </w:r>
          </w:p>
          <w:p>
            <w:pPr>
              <w:adjustRightInd w:val="0"/>
              <w:snapToGrid w:val="0"/>
              <w:rPr>
                <w:rFonts w:ascii="宋体" w:hAnsi="宋体"/>
                <w:szCs w:val="21"/>
              </w:rPr>
            </w:pPr>
            <w:r>
              <w:rPr>
                <w:rFonts w:hint="eastAsia" w:ascii="宋体" w:hAnsi="宋体"/>
                <w:szCs w:val="21"/>
              </w:rPr>
              <w:t>（1）方案详细完整，安排科学、可行，完全适用且优于本项目用户需求得6分。</w:t>
            </w:r>
          </w:p>
          <w:p>
            <w:pPr>
              <w:adjustRightInd w:val="0"/>
              <w:snapToGrid w:val="0"/>
              <w:rPr>
                <w:rFonts w:ascii="宋体" w:hAnsi="宋体"/>
                <w:szCs w:val="21"/>
              </w:rPr>
            </w:pPr>
            <w:r>
              <w:rPr>
                <w:rFonts w:hint="eastAsia" w:ascii="宋体" w:hAnsi="宋体"/>
                <w:szCs w:val="21"/>
              </w:rPr>
              <w:t>（2）方案基本完整，安排较科学、基本可行，完全适用本项目用户需求得3分。</w:t>
            </w:r>
          </w:p>
          <w:p>
            <w:pPr>
              <w:adjustRightInd w:val="0"/>
              <w:snapToGrid w:val="0"/>
              <w:rPr>
                <w:rFonts w:hint="eastAsia" w:ascii="宋体" w:hAnsi="宋体"/>
                <w:szCs w:val="21"/>
              </w:rPr>
            </w:pPr>
            <w:r>
              <w:rPr>
                <w:rFonts w:hint="eastAsia" w:ascii="宋体" w:hAnsi="宋体"/>
                <w:szCs w:val="21"/>
              </w:rPr>
              <w:t>（3）方案不完整、安排不科学、不可行，部分适用本项目用户需求得0.5分。</w:t>
            </w:r>
          </w:p>
          <w:p>
            <w:pPr>
              <w:adjustRightInd w:val="0"/>
              <w:snapToGrid w:val="0"/>
              <w:jc w:val="left"/>
              <w:rPr>
                <w:rFonts w:hint="eastAsia" w:ascii="宋体" w:hAnsi="宋体"/>
                <w:szCs w:val="21"/>
              </w:rPr>
            </w:pPr>
            <w:r>
              <w:rPr>
                <w:rFonts w:hint="eastAsia" w:ascii="宋体" w:hAnsi="宋体"/>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4</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应急方案与质量保证措施</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投标人针对本项目制定应急方案与质量保证措施，主要考察紧急状况或学校重大活动、</w:t>
            </w:r>
            <w:r>
              <w:rPr>
                <w:rFonts w:hint="eastAsia" w:ascii="宋体" w:hAnsi="宋体" w:cs="宋体"/>
                <w:kern w:val="0"/>
                <w:szCs w:val="21"/>
                <w:lang w:val="en-US" w:eastAsia="zh-CN"/>
              </w:rPr>
              <w:t>弱电故障</w:t>
            </w:r>
            <w:r>
              <w:rPr>
                <w:rFonts w:hint="eastAsia" w:ascii="宋体" w:hAnsi="宋体" w:cs="宋体"/>
                <w:kern w:val="0"/>
                <w:szCs w:val="21"/>
              </w:rPr>
              <w:t>或特殊情况时的维保、检修工作及确保</w:t>
            </w:r>
            <w:r>
              <w:rPr>
                <w:rFonts w:hint="eastAsia" w:ascii="宋体" w:hAnsi="宋体" w:cs="宋体"/>
                <w:kern w:val="0"/>
                <w:szCs w:val="21"/>
                <w:lang w:val="en-US" w:eastAsia="zh-CN"/>
              </w:rPr>
              <w:t>弱电</w:t>
            </w:r>
            <w:r>
              <w:rPr>
                <w:rFonts w:hint="eastAsia" w:ascii="宋体" w:hAnsi="宋体" w:cs="宋体"/>
                <w:kern w:val="0"/>
                <w:szCs w:val="21"/>
              </w:rPr>
              <w:t>系统、</w:t>
            </w:r>
            <w:r>
              <w:rPr>
                <w:rFonts w:hint="eastAsia" w:ascii="宋体" w:hAnsi="宋体" w:cs="宋体"/>
                <w:kern w:val="0"/>
                <w:szCs w:val="21"/>
                <w:lang w:val="en-US" w:eastAsia="zh-CN"/>
              </w:rPr>
              <w:t>图书馆弱电</w:t>
            </w:r>
            <w:r>
              <w:rPr>
                <w:rFonts w:hint="eastAsia" w:ascii="宋体" w:hAnsi="宋体" w:cs="宋体"/>
                <w:kern w:val="0"/>
                <w:szCs w:val="21"/>
              </w:rPr>
              <w:t>设备正常运行的方案等。</w:t>
            </w:r>
          </w:p>
          <w:p>
            <w:pPr>
              <w:adjustRightInd w:val="0"/>
              <w:snapToGrid w:val="0"/>
              <w:jc w:val="left"/>
              <w:rPr>
                <w:rFonts w:ascii="宋体" w:hAnsi="宋体" w:cs="宋体"/>
                <w:kern w:val="0"/>
                <w:szCs w:val="21"/>
              </w:rPr>
            </w:pPr>
            <w:r>
              <w:rPr>
                <w:rFonts w:hint="eastAsia" w:ascii="宋体" w:hAnsi="宋体" w:cs="宋体"/>
                <w:kern w:val="0"/>
                <w:szCs w:val="21"/>
              </w:rPr>
              <w:t>（1）方案详细完整，安排科学、可行，完全适用且优于本项目用户需求得6分。</w:t>
            </w:r>
          </w:p>
          <w:p>
            <w:pPr>
              <w:adjustRightInd w:val="0"/>
              <w:snapToGrid w:val="0"/>
              <w:jc w:val="left"/>
              <w:rPr>
                <w:rFonts w:ascii="宋体" w:hAnsi="宋体" w:cs="宋体"/>
                <w:kern w:val="0"/>
                <w:szCs w:val="21"/>
              </w:rPr>
            </w:pPr>
            <w:r>
              <w:rPr>
                <w:rFonts w:hint="eastAsia" w:ascii="宋体" w:hAnsi="宋体" w:cs="宋体"/>
                <w:kern w:val="0"/>
                <w:szCs w:val="21"/>
              </w:rPr>
              <w:t>（2）方案基本完整，安排较科学、基本可行，完全适用本项目用户需求得3分。</w:t>
            </w:r>
          </w:p>
          <w:p>
            <w:pPr>
              <w:adjustRightInd w:val="0"/>
              <w:snapToGrid w:val="0"/>
              <w:jc w:val="left"/>
              <w:rPr>
                <w:rFonts w:hint="eastAsia" w:ascii="宋体" w:hAnsi="宋体" w:cs="宋体"/>
                <w:kern w:val="0"/>
                <w:szCs w:val="21"/>
              </w:rPr>
            </w:pPr>
            <w:r>
              <w:rPr>
                <w:rFonts w:hint="eastAsia" w:ascii="宋体" w:hAnsi="宋体" w:cs="宋体"/>
                <w:kern w:val="0"/>
                <w:szCs w:val="21"/>
              </w:rPr>
              <w:t>（3）方案不完整、安排不科学、不可行，部分适用本项目用户需求得0.5分。</w:t>
            </w:r>
          </w:p>
          <w:p>
            <w:pPr>
              <w:adjustRightInd w:val="0"/>
              <w:snapToGrid w:val="0"/>
              <w:jc w:val="left"/>
              <w:rPr>
                <w:rFonts w:hint="eastAsia" w:ascii="宋体" w:hAnsi="宋体" w:cs="宋体"/>
                <w:kern w:val="0"/>
                <w:szCs w:val="21"/>
              </w:rPr>
            </w:pPr>
            <w:r>
              <w:rPr>
                <w:rFonts w:hint="eastAsia" w:ascii="宋体" w:hAnsi="宋体" w:cs="宋体"/>
                <w:kern w:val="0"/>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本地化服务</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投标人总部在广州市内或广州市内有分支服务点</w:t>
            </w:r>
          </w:p>
        </w:tc>
        <w:tc>
          <w:tcPr>
            <w:tcW w:w="792" w:type="dxa"/>
            <w:noWrap w:val="0"/>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792"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3"/>
        <w:bidi w:val="0"/>
      </w:pPr>
      <w:bookmarkStart w:id="35" w:name="_Toc3833"/>
      <w:r>
        <w:rPr>
          <w:rFonts w:hint="eastAsia"/>
        </w:rPr>
        <w:t>第五部分  合同格式及主要条款</w:t>
      </w:r>
      <w:bookmarkEnd w:id="35"/>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2"/>
        </w:numPr>
        <w:rPr>
          <w:rFonts w:ascii="宋体" w:hAnsi="宋体"/>
          <w:color w:val="000000"/>
          <w:sz w:val="23"/>
          <w:szCs w:val="23"/>
        </w:rPr>
      </w:pPr>
      <w:r>
        <w:rPr>
          <w:rFonts w:hint="eastAsia" w:ascii="宋体" w:hAnsi="宋体"/>
          <w:bCs/>
          <w:color w:val="000000"/>
          <w:sz w:val="23"/>
          <w:szCs w:val="23"/>
        </w:rPr>
        <w:t>组成合同的文件</w:t>
      </w:r>
    </w:p>
    <w:p>
      <w:pPr>
        <w:numPr>
          <w:ilvl w:val="0"/>
          <w:numId w:val="13"/>
        </w:numPr>
        <w:rPr>
          <w:rFonts w:ascii="宋体" w:hAnsi="宋体"/>
          <w:color w:val="000000"/>
          <w:sz w:val="23"/>
          <w:szCs w:val="23"/>
        </w:rPr>
      </w:pPr>
      <w:r>
        <w:rPr>
          <w:rFonts w:hint="eastAsia" w:ascii="宋体" w:hAnsi="宋体"/>
          <w:color w:val="000000"/>
          <w:sz w:val="23"/>
          <w:szCs w:val="23"/>
        </w:rPr>
        <w:t>本合同协议书。</w:t>
      </w:r>
    </w:p>
    <w:p>
      <w:pPr>
        <w:numPr>
          <w:ilvl w:val="0"/>
          <w:numId w:val="13"/>
        </w:numPr>
        <w:rPr>
          <w:rFonts w:ascii="宋体" w:hAnsi="宋体"/>
          <w:color w:val="000000"/>
          <w:sz w:val="23"/>
          <w:szCs w:val="23"/>
        </w:rPr>
      </w:pPr>
      <w:r>
        <w:rPr>
          <w:rFonts w:hint="eastAsia" w:ascii="宋体" w:hAnsi="宋体"/>
          <w:color w:val="000000"/>
          <w:sz w:val="23"/>
          <w:szCs w:val="23"/>
        </w:rPr>
        <w:t>中标通知书。</w:t>
      </w:r>
    </w:p>
    <w:p>
      <w:pPr>
        <w:numPr>
          <w:ilvl w:val="0"/>
          <w:numId w:val="13"/>
        </w:numPr>
        <w:rPr>
          <w:rFonts w:ascii="宋体" w:hAnsi="宋体"/>
          <w:color w:val="000000"/>
          <w:sz w:val="23"/>
          <w:szCs w:val="23"/>
        </w:rPr>
      </w:pPr>
      <w:r>
        <w:rPr>
          <w:rFonts w:hint="eastAsia" w:ascii="宋体" w:hAnsi="宋体"/>
          <w:color w:val="000000"/>
          <w:sz w:val="23"/>
          <w:szCs w:val="23"/>
        </w:rPr>
        <w:t>投标函及其附件。</w:t>
      </w:r>
    </w:p>
    <w:p>
      <w:pPr>
        <w:numPr>
          <w:ilvl w:val="0"/>
          <w:numId w:val="13"/>
        </w:numPr>
        <w:rPr>
          <w:rFonts w:ascii="宋体" w:hAnsi="宋体"/>
          <w:color w:val="000000"/>
          <w:sz w:val="23"/>
          <w:szCs w:val="23"/>
        </w:rPr>
      </w:pPr>
      <w:r>
        <w:rPr>
          <w:rFonts w:hint="eastAsia" w:ascii="宋体" w:hAnsi="宋体"/>
          <w:color w:val="000000"/>
          <w:sz w:val="23"/>
          <w:szCs w:val="23"/>
        </w:rPr>
        <w:t>招标文件。</w:t>
      </w:r>
    </w:p>
    <w:p>
      <w:pPr>
        <w:numPr>
          <w:ilvl w:val="0"/>
          <w:numId w:val="13"/>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2"/>
        </w:numPr>
        <w:rPr>
          <w:rFonts w:ascii="宋体" w:hAnsi="宋体"/>
          <w:color w:val="000000"/>
          <w:sz w:val="23"/>
          <w:szCs w:val="23"/>
        </w:rPr>
      </w:pPr>
      <w:r>
        <w:rPr>
          <w:rFonts w:hint="eastAsia" w:ascii="宋体" w:hAnsi="宋体"/>
          <w:color w:val="000000"/>
          <w:sz w:val="23"/>
          <w:szCs w:val="23"/>
        </w:rPr>
        <w:t>合同标的</w:t>
      </w:r>
    </w:p>
    <w:p>
      <w:pPr>
        <w:numPr>
          <w:ilvl w:val="0"/>
          <w:numId w:val="14"/>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4"/>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4"/>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4"/>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4"/>
        </w:numPr>
        <w:rPr>
          <w:rFonts w:ascii="宋体" w:hAnsi="宋体"/>
          <w:color w:val="000000"/>
          <w:sz w:val="23"/>
          <w:szCs w:val="23"/>
        </w:rPr>
      </w:pPr>
      <w:r>
        <w:rPr>
          <w:rFonts w:hint="eastAsia" w:ascii="宋体" w:hAnsi="宋体"/>
          <w:color w:val="000000"/>
          <w:sz w:val="23"/>
          <w:szCs w:val="23"/>
        </w:rPr>
        <w:t>其它约定：。</w:t>
      </w:r>
    </w:p>
    <w:p>
      <w:pPr>
        <w:numPr>
          <w:ilvl w:val="0"/>
          <w:numId w:val="12"/>
        </w:numPr>
        <w:rPr>
          <w:rFonts w:ascii="宋体" w:hAnsi="宋体"/>
          <w:color w:val="000000"/>
          <w:sz w:val="23"/>
          <w:szCs w:val="23"/>
        </w:rPr>
      </w:pPr>
      <w:r>
        <w:rPr>
          <w:rFonts w:hint="eastAsia" w:ascii="宋体" w:hAnsi="宋体"/>
          <w:color w:val="000000"/>
          <w:sz w:val="23"/>
          <w:szCs w:val="23"/>
        </w:rPr>
        <w:t>结算方式</w:t>
      </w:r>
    </w:p>
    <w:p>
      <w:pPr>
        <w:numPr>
          <w:ilvl w:val="0"/>
          <w:numId w:val="15"/>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2"/>
        </w:numPr>
        <w:rPr>
          <w:rFonts w:ascii="宋体" w:hAnsi="宋体"/>
          <w:color w:val="000000"/>
          <w:sz w:val="23"/>
          <w:szCs w:val="23"/>
        </w:rPr>
      </w:pPr>
      <w:r>
        <w:rPr>
          <w:rFonts w:hint="eastAsia" w:ascii="宋体" w:hAnsi="宋体"/>
          <w:color w:val="000000"/>
          <w:sz w:val="23"/>
          <w:szCs w:val="23"/>
        </w:rPr>
        <w:t>付款方式</w:t>
      </w:r>
    </w:p>
    <w:p>
      <w:pPr>
        <w:numPr>
          <w:ilvl w:val="0"/>
          <w:numId w:val="16"/>
        </w:numPr>
        <w:rPr>
          <w:rFonts w:ascii="宋体" w:hAnsi="宋体"/>
          <w:color w:val="000000"/>
          <w:sz w:val="23"/>
          <w:szCs w:val="23"/>
        </w:rPr>
      </w:pPr>
      <w:r>
        <w:rPr>
          <w:rFonts w:hint="eastAsia" w:ascii="宋体" w:hAnsi="宋体"/>
          <w:color w:val="000000"/>
          <w:sz w:val="23"/>
          <w:szCs w:val="23"/>
        </w:rPr>
        <w:t>一次性付款。</w:t>
      </w:r>
    </w:p>
    <w:p>
      <w:pPr>
        <w:numPr>
          <w:ilvl w:val="0"/>
          <w:numId w:val="16"/>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2"/>
        </w:numPr>
        <w:rPr>
          <w:rFonts w:ascii="宋体" w:hAnsi="宋体"/>
          <w:color w:val="000000"/>
          <w:sz w:val="23"/>
          <w:szCs w:val="23"/>
        </w:rPr>
      </w:pPr>
      <w:r>
        <w:rPr>
          <w:rFonts w:hint="eastAsia" w:ascii="宋体" w:hAnsi="宋体"/>
          <w:bCs/>
          <w:color w:val="000000"/>
          <w:sz w:val="23"/>
          <w:szCs w:val="23"/>
        </w:rPr>
        <w:t>履约要求</w:t>
      </w:r>
    </w:p>
    <w:p>
      <w:pPr>
        <w:numPr>
          <w:ilvl w:val="0"/>
          <w:numId w:val="17"/>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color w:val="000000"/>
          <w:sz w:val="23"/>
          <w:szCs w:val="23"/>
        </w:rPr>
        <w:t>质量要求：。</w:t>
      </w:r>
    </w:p>
    <w:p>
      <w:pPr>
        <w:numPr>
          <w:ilvl w:val="0"/>
          <w:numId w:val="17"/>
        </w:numPr>
        <w:rPr>
          <w:rFonts w:ascii="宋体" w:hAnsi="宋体"/>
          <w:color w:val="000000"/>
          <w:sz w:val="23"/>
          <w:szCs w:val="23"/>
        </w:rPr>
      </w:pPr>
      <w:r>
        <w:rPr>
          <w:rFonts w:hint="eastAsia" w:ascii="宋体" w:hAnsi="宋体"/>
          <w:color w:val="000000"/>
          <w:sz w:val="23"/>
          <w:szCs w:val="23"/>
        </w:rPr>
        <w:t>验收标准：。</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bCs/>
          <w:color w:val="000000"/>
          <w:sz w:val="23"/>
          <w:szCs w:val="23"/>
        </w:rPr>
        <w:t>履约保证金</w:t>
      </w:r>
    </w:p>
    <w:p>
      <w:pPr>
        <w:numPr>
          <w:ilvl w:val="0"/>
          <w:numId w:val="18"/>
        </w:numPr>
        <w:rPr>
          <w:rFonts w:ascii="宋体" w:hAnsi="宋体"/>
          <w:color w:val="000000"/>
          <w:sz w:val="23"/>
          <w:szCs w:val="23"/>
        </w:rPr>
      </w:pPr>
      <w:r>
        <w:rPr>
          <w:rFonts w:hint="eastAsia" w:ascii="宋体" w:hAnsi="宋体"/>
          <w:color w:val="000000"/>
          <w:sz w:val="23"/>
          <w:szCs w:val="23"/>
        </w:rPr>
        <w:t>金额：。</w:t>
      </w:r>
    </w:p>
    <w:p>
      <w:pPr>
        <w:numPr>
          <w:ilvl w:val="0"/>
          <w:numId w:val="18"/>
        </w:numPr>
        <w:rPr>
          <w:rFonts w:ascii="宋体" w:hAnsi="宋体"/>
          <w:color w:val="000000"/>
          <w:sz w:val="23"/>
          <w:szCs w:val="23"/>
        </w:rPr>
      </w:pPr>
      <w:r>
        <w:rPr>
          <w:rFonts w:hint="eastAsia" w:ascii="宋体" w:hAnsi="宋体"/>
          <w:color w:val="000000"/>
          <w:sz w:val="23"/>
          <w:szCs w:val="23"/>
        </w:rPr>
        <w:t>交纳方式：。</w:t>
      </w:r>
    </w:p>
    <w:p>
      <w:pPr>
        <w:numPr>
          <w:ilvl w:val="0"/>
          <w:numId w:val="18"/>
        </w:numPr>
        <w:rPr>
          <w:rFonts w:ascii="宋体" w:hAnsi="宋体"/>
          <w:color w:val="000000"/>
          <w:sz w:val="23"/>
          <w:szCs w:val="23"/>
        </w:rPr>
      </w:pPr>
      <w:r>
        <w:rPr>
          <w:rFonts w:hint="eastAsia" w:ascii="宋体" w:hAnsi="宋体"/>
          <w:color w:val="000000"/>
          <w:sz w:val="23"/>
          <w:szCs w:val="23"/>
        </w:rPr>
        <w:t>用途：。</w:t>
      </w:r>
    </w:p>
    <w:p>
      <w:pPr>
        <w:numPr>
          <w:ilvl w:val="0"/>
          <w:numId w:val="18"/>
        </w:numPr>
        <w:rPr>
          <w:rFonts w:ascii="宋体" w:hAnsi="宋体"/>
          <w:color w:val="000000"/>
          <w:sz w:val="23"/>
          <w:szCs w:val="23"/>
        </w:rPr>
      </w:pPr>
      <w:r>
        <w:rPr>
          <w:rFonts w:hint="eastAsia" w:ascii="宋体" w:hAnsi="宋体"/>
          <w:color w:val="000000"/>
          <w:sz w:val="23"/>
          <w:szCs w:val="23"/>
        </w:rPr>
        <w:t>退回条件：。</w:t>
      </w:r>
    </w:p>
    <w:p>
      <w:pPr>
        <w:numPr>
          <w:ilvl w:val="0"/>
          <w:numId w:val="12"/>
        </w:numPr>
        <w:rPr>
          <w:rFonts w:ascii="宋体" w:hAnsi="宋体"/>
          <w:color w:val="000000"/>
          <w:sz w:val="23"/>
          <w:szCs w:val="23"/>
        </w:rPr>
      </w:pPr>
      <w:r>
        <w:rPr>
          <w:rFonts w:hint="eastAsia" w:ascii="宋体" w:hAnsi="宋体"/>
          <w:color w:val="000000"/>
          <w:sz w:val="23"/>
          <w:szCs w:val="23"/>
        </w:rPr>
        <w:t>甲方的权利与义务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乙方的权利与义务</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20"/>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违约处罚</w:t>
      </w:r>
    </w:p>
    <w:p>
      <w:pPr>
        <w:numPr>
          <w:ilvl w:val="0"/>
          <w:numId w:val="21"/>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免责条款</w:t>
      </w:r>
    </w:p>
    <w:p>
      <w:pPr>
        <w:numPr>
          <w:ilvl w:val="0"/>
          <w:numId w:val="22"/>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2"/>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2"/>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争议的解决</w:t>
      </w:r>
    </w:p>
    <w:p>
      <w:pPr>
        <w:numPr>
          <w:ilvl w:val="0"/>
          <w:numId w:val="23"/>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3"/>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2"/>
        </w:numPr>
        <w:rPr>
          <w:rFonts w:ascii="宋体" w:hAnsi="宋体"/>
          <w:color w:val="000000"/>
          <w:sz w:val="23"/>
          <w:szCs w:val="23"/>
        </w:rPr>
      </w:pPr>
      <w:r>
        <w:rPr>
          <w:rFonts w:hint="eastAsia" w:ascii="宋体" w:hAnsi="宋体"/>
          <w:bCs/>
          <w:color w:val="000000"/>
          <w:sz w:val="23"/>
          <w:szCs w:val="23"/>
        </w:rPr>
        <w:t>合同生效</w:t>
      </w:r>
    </w:p>
    <w:p>
      <w:pPr>
        <w:numPr>
          <w:ilvl w:val="0"/>
          <w:numId w:val="24"/>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2"/>
        </w:numPr>
        <w:rPr>
          <w:rFonts w:ascii="宋体" w:hAnsi="宋体"/>
          <w:color w:val="000000"/>
          <w:sz w:val="23"/>
          <w:szCs w:val="23"/>
        </w:rPr>
      </w:pPr>
      <w:r>
        <w:rPr>
          <w:rFonts w:hint="eastAsia" w:ascii="宋体" w:hAnsi="宋体"/>
          <w:bCs/>
          <w:color w:val="000000"/>
          <w:sz w:val="23"/>
          <w:szCs w:val="23"/>
        </w:rPr>
        <w:t>合同的解除</w:t>
      </w:r>
    </w:p>
    <w:p>
      <w:pPr>
        <w:numPr>
          <w:ilvl w:val="0"/>
          <w:numId w:val="25"/>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附则</w:t>
      </w:r>
    </w:p>
    <w:p>
      <w:pPr>
        <w:numPr>
          <w:ilvl w:val="0"/>
          <w:numId w:val="26"/>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6"/>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6"/>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合同附件</w:t>
      </w:r>
    </w:p>
    <w:p>
      <w:pPr>
        <w:numPr>
          <w:ilvl w:val="0"/>
          <w:numId w:val="27"/>
        </w:numPr>
        <w:rPr>
          <w:rFonts w:ascii="宋体" w:hAnsi="宋体"/>
          <w:color w:val="000000"/>
          <w:sz w:val="23"/>
          <w:szCs w:val="23"/>
        </w:rPr>
      </w:pPr>
      <w:r>
        <w:rPr>
          <w:rFonts w:hint="eastAsia" w:ascii="宋体" w:hAnsi="宋体"/>
          <w:color w:val="000000"/>
          <w:sz w:val="23"/>
          <w:szCs w:val="23"/>
        </w:rPr>
        <w:t>附件一：价格明细清单。</w:t>
      </w:r>
    </w:p>
    <w:p>
      <w:pPr>
        <w:numPr>
          <w:ilvl w:val="0"/>
          <w:numId w:val="27"/>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7"/>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jc w:val="center"/>
        <w:rPr>
          <w:rFonts w:ascii="宋体" w:hAnsi="宋体"/>
          <w:color w:val="000000"/>
          <w:sz w:val="28"/>
          <w:szCs w:val="23"/>
        </w:rPr>
      </w:pPr>
      <w:r>
        <w:rPr>
          <w:b w:val="0"/>
          <w:color w:val="000000"/>
          <w:sz w:val="23"/>
          <w:szCs w:val="23"/>
        </w:rPr>
        <w:br w:type="page"/>
      </w:r>
      <w:bookmarkStart w:id="36" w:name="_Toc298242764"/>
      <w:bookmarkStart w:id="37" w:name="_Toc20964"/>
      <w:r>
        <w:rPr>
          <w:rFonts w:hint="eastAsia" w:ascii="Arial" w:hAnsi="Arial"/>
        </w:rPr>
        <w:t>第六部分  投标文件格式</w:t>
      </w:r>
      <w:bookmarkEnd w:id="36"/>
      <w:bookmarkEnd w:id="37"/>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8"/>
        </w:numPr>
        <w:bidi w:val="0"/>
      </w:pPr>
      <w:bookmarkStart w:id="38" w:name="_Toc26404"/>
      <w:r>
        <w:rPr>
          <w:rFonts w:hint="eastAsia"/>
        </w:rPr>
        <w:t>投标函</w:t>
      </w:r>
      <w:bookmarkEnd w:id="38"/>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9" w:name="OLE_LINK4"/>
      <w:r>
        <w:rPr>
          <w:rFonts w:hint="eastAsia" w:ascii="宋体" w:hAnsi="宋体"/>
          <w:color w:val="000000"/>
          <w:sz w:val="23"/>
          <w:szCs w:val="23"/>
        </w:rPr>
        <w:t>副本</w:t>
      </w:r>
      <w:bookmarkEnd w:id="39"/>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0"/>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8"/>
        </w:numPr>
        <w:bidi w:val="0"/>
      </w:pPr>
      <w:bookmarkStart w:id="40" w:name="_Toc20173"/>
      <w:bookmarkStart w:id="41" w:name="_Toc298242766"/>
      <w:r>
        <w:rPr>
          <w:rFonts w:hint="eastAsia"/>
        </w:rPr>
        <w:t>价格文件</w:t>
      </w:r>
      <w:bookmarkEnd w:id="40"/>
      <w:bookmarkEnd w:id="41"/>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广州校区2021-2024年北校园图书馆弱电系统维护保养服务</w:t>
            </w:r>
            <w:r>
              <w:rPr>
                <w:rFonts w:hint="eastAsia" w:asciiTheme="minorEastAsia" w:hAnsiTheme="minorEastAsia" w:eastAsiaTheme="minorEastAsia"/>
                <w:b/>
                <w:bCs/>
                <w:sz w:val="24"/>
                <w:szCs w:val="24"/>
              </w:rPr>
              <w:t>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 xml:space="preserve">大写：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24"/>
        <w:spacing w:line="480" w:lineRule="exact"/>
        <w:rPr>
          <w:rFonts w:hAnsi="宋体"/>
          <w:color w:val="000000"/>
          <w:sz w:val="23"/>
          <w:szCs w:val="23"/>
        </w:rPr>
      </w:pPr>
      <w:r>
        <w:rPr>
          <w:rFonts w:hint="eastAsia" w:hAnsi="宋体"/>
          <w:color w:val="000000"/>
          <w:sz w:val="23"/>
          <w:szCs w:val="23"/>
        </w:rPr>
        <w:t>注：</w:t>
      </w:r>
    </w:p>
    <w:p>
      <w:pPr>
        <w:pStyle w:val="2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42" w:name="_Toc295727243"/>
    </w:p>
    <w:p>
      <w:pPr>
        <w:pStyle w:val="5"/>
        <w:numPr>
          <w:ilvl w:val="0"/>
          <w:numId w:val="31"/>
        </w:numPr>
        <w:tabs>
          <w:tab w:val="left" w:pos="0"/>
        </w:tabs>
        <w:bidi w:val="0"/>
        <w:rPr>
          <w:rFonts w:hint="eastAsia"/>
        </w:rPr>
      </w:pPr>
      <w:bookmarkStart w:id="43" w:name="_Toc59630614"/>
      <w:bookmarkStart w:id="44" w:name="_Toc295727241"/>
      <w:bookmarkStart w:id="45" w:name="_Toc7488"/>
      <w:r>
        <w:rPr>
          <w:rFonts w:hint="eastAsia"/>
        </w:rPr>
        <w:t>技术文件</w:t>
      </w:r>
      <w:bookmarkEnd w:id="43"/>
      <w:bookmarkEnd w:id="44"/>
      <w:bookmarkEnd w:id="45"/>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1、投标人必须对应招标文件第二部分《项目内容及需求》中“2.3服务要求”的一般技术要求的有关内容逐条响应。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6"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407"/>
        <w:gridCol w:w="739"/>
        <w:gridCol w:w="1075"/>
        <w:gridCol w:w="52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ascii="宋体" w:hAnsi="宋体"/>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1.4-2.1.7各条款</w:t>
      </w:r>
      <w:r>
        <w:rPr>
          <w:rFonts w:hint="eastAsia" w:ascii="宋体" w:hAnsi="宋体"/>
          <w:color w:val="000000"/>
          <w:sz w:val="24"/>
        </w:rPr>
        <w:t>”及 《技术评分表》、，逐一对本项目技术要求提供书面响应：</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6"/>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1、投标人必须对应招标文件第二部分《项目内容及需求》中“2.4商务要求”等内容逐条响应。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“2.4商务要求” 及《商务评分表》，逐一提供响应本项目的商务文件：</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3"/>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4"/>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7" w:name="_Toc7659"/>
      <w:r>
        <w:rPr>
          <w:rFonts w:hint="eastAsia"/>
          <w:lang w:val="en-US" w:eastAsia="zh-CN"/>
        </w:rPr>
        <w:t>6.5承诺书</w:t>
      </w:r>
      <w:bookmarkEnd w:id="42"/>
      <w:bookmarkEnd w:id="47"/>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8" w:name="_Toc23159"/>
      <w:r>
        <w:rPr>
          <w:rFonts w:hint="eastAsia"/>
          <w:lang w:val="en-US" w:eastAsia="zh-CN"/>
        </w:rPr>
        <w:t>6.6 投标资格文件</w:t>
      </w:r>
      <w:bookmarkEnd w:id="48"/>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5"/>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5"/>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5"/>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9"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pStyle w:val="5"/>
        <w:bidi w:val="0"/>
        <w:rPr>
          <w:rFonts w:hint="eastAsia"/>
          <w:lang w:val="en-US" w:eastAsia="zh-CN"/>
        </w:rPr>
      </w:pPr>
      <w:r>
        <w:rPr>
          <w:rFonts w:hint="eastAsia"/>
          <w:lang w:val="en-US" w:eastAsia="zh-CN"/>
        </w:rPr>
        <w:t>6.7法定代表人证明书</w:t>
      </w:r>
      <w:bookmarkEnd w:id="49"/>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50" w:name="_Toc20519"/>
      <w:r>
        <w:rPr>
          <w:rFonts w:hint="eastAsia" w:ascii="Arial" w:hAnsi="Arial"/>
          <w:lang w:val="en-US" w:eastAsia="zh-CN"/>
        </w:rPr>
        <w:t>6.8 授权委托书</w:t>
      </w:r>
      <w:bookmarkEnd w:id="50"/>
    </w:p>
    <w:p>
      <w:pPr>
        <w:adjustRightInd w:val="0"/>
        <w:snapToGrid w:val="0"/>
        <w:rPr>
          <w:rFonts w:ascii="宋体" w:hAnsi="宋体"/>
          <w:color w:val="000000"/>
          <w:kern w:val="0"/>
          <w:sz w:val="23"/>
          <w:szCs w:val="23"/>
        </w:rPr>
      </w:pPr>
    </w:p>
    <w:p>
      <w:pPr>
        <w:pStyle w:val="24"/>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51"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51"/>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52" w:name="_Toc59630618"/>
      <w:bookmarkStart w:id="53" w:name="_Toc295727245"/>
      <w:bookmarkStart w:id="54" w:name="_Toc7944"/>
      <w:r>
        <w:rPr>
          <w:rFonts w:hint="eastAsia"/>
          <w:lang w:val="en-US" w:eastAsia="zh-CN"/>
        </w:rPr>
        <w:t>6.9 投标文件自查清单（仅供提示）</w:t>
      </w:r>
      <w:bookmarkEnd w:id="52"/>
      <w:bookmarkEnd w:id="53"/>
      <w:bookmarkEnd w:id="54"/>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6"/>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5" w:type="first"/>
      <w:footerReference r:id="rId14"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4115" o:spid="_x0000_s411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3" o:spid="_x0000_s412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separate"/>
    </w:r>
    <w:r>
      <w:rPr>
        <w:rStyle w:val="47"/>
      </w:rPr>
      <w:t>52</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6" o:spid="_x0000_s411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w:pict>
        <v:shape id="_x0000_s4117" o:spid="_x0000_s411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8" o:spid="_x0000_s411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9" o:spid="_x0000_s411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0" o:spid="_x0000_s412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1" o:spid="_x0000_s412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w:r>
  </w:p>
  <w:p>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2" o:spid="_x0000_s412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18</w:t>
                </w:r>
                <w:r>
                  <w:fldChar w:fldCharType="end"/>
                </w:r>
              </w:p>
            </w:txbxContent>
          </v:textbox>
        </v:shape>
      </w:pic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bookmarkStart w:id="55" w:name="OLE_LINK15"/>
    <w:bookmarkEnd w:id="55"/>
    <w:bookmarkStart w:id="56" w:name="OLE_LINK14"/>
    <w:bookmarkEnd w:id="56"/>
    <w:bookmarkStart w:id="57" w:name="_Hlk303930787"/>
    <w:bookmarkEnd w:id="5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9812D5"/>
    <w:multiLevelType w:val="multilevel"/>
    <w:tmpl w:val="7D9812D5"/>
    <w:lvl w:ilvl="0" w:tentative="0">
      <w:start w:val="1"/>
      <w:numFmt w:val="decimal"/>
      <w:lvlText w:val="1.6.%1"/>
      <w:lvlJc w:val="left"/>
      <w:pPr>
        <w:tabs>
          <w:tab w:val="left" w:pos="1361"/>
        </w:tabs>
        <w:ind w:left="1391" w:hanging="85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6"/>
  </w:num>
  <w:num w:numId="2">
    <w:abstractNumId w:val="11"/>
  </w:num>
  <w:num w:numId="3">
    <w:abstractNumId w:val="3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6"/>
  </w:num>
  <w:num w:numId="9">
    <w:abstractNumId w:val="19"/>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num>
  <w:num w:numId="14">
    <w:abstractNumId w:val="14"/>
  </w:num>
  <w:num w:numId="15">
    <w:abstractNumId w:val="30"/>
  </w:num>
  <w:num w:numId="16">
    <w:abstractNumId w:val="21"/>
  </w:num>
  <w:num w:numId="17">
    <w:abstractNumId w:val="23"/>
  </w:num>
  <w:num w:numId="18">
    <w:abstractNumId w:val="4"/>
  </w:num>
  <w:num w:numId="19">
    <w:abstractNumId w:val="18"/>
  </w:num>
  <w:num w:numId="20">
    <w:abstractNumId w:val="3"/>
  </w:num>
  <w:num w:numId="21">
    <w:abstractNumId w:val="29"/>
  </w:num>
  <w:num w:numId="22">
    <w:abstractNumId w:val="15"/>
  </w:num>
  <w:num w:numId="23">
    <w:abstractNumId w:val="24"/>
  </w:num>
  <w:num w:numId="24">
    <w:abstractNumId w:val="6"/>
  </w:num>
  <w:num w:numId="25">
    <w:abstractNumId w:val="5"/>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7"/>
  </w:num>
  <w:num w:numId="34">
    <w:abstractNumId w:val="0"/>
  </w:num>
  <w:num w:numId="35">
    <w:abstractNumId w:val="2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DE139B"/>
    <w:rsid w:val="023A5CA6"/>
    <w:rsid w:val="037E280C"/>
    <w:rsid w:val="04013310"/>
    <w:rsid w:val="05123957"/>
    <w:rsid w:val="05F02E8B"/>
    <w:rsid w:val="06966A0D"/>
    <w:rsid w:val="06C05AF1"/>
    <w:rsid w:val="06ED4C8A"/>
    <w:rsid w:val="07402BF3"/>
    <w:rsid w:val="07DE6A9A"/>
    <w:rsid w:val="09ED154E"/>
    <w:rsid w:val="0AB90B39"/>
    <w:rsid w:val="0B74376A"/>
    <w:rsid w:val="0BB23C45"/>
    <w:rsid w:val="0BDF6B5E"/>
    <w:rsid w:val="0BFB4B3E"/>
    <w:rsid w:val="0C10126D"/>
    <w:rsid w:val="0CCC4D37"/>
    <w:rsid w:val="0CEA3DD7"/>
    <w:rsid w:val="0D933ACB"/>
    <w:rsid w:val="0E374ADB"/>
    <w:rsid w:val="0F140BE0"/>
    <w:rsid w:val="0F646F20"/>
    <w:rsid w:val="0F871FC5"/>
    <w:rsid w:val="0FB03BC1"/>
    <w:rsid w:val="10034A31"/>
    <w:rsid w:val="101D6B53"/>
    <w:rsid w:val="109F51D7"/>
    <w:rsid w:val="109F534B"/>
    <w:rsid w:val="12553EE6"/>
    <w:rsid w:val="125B5A1E"/>
    <w:rsid w:val="128B44A8"/>
    <w:rsid w:val="12B82E37"/>
    <w:rsid w:val="12ED5D11"/>
    <w:rsid w:val="132D4483"/>
    <w:rsid w:val="136E40A3"/>
    <w:rsid w:val="13783DEF"/>
    <w:rsid w:val="14676F8C"/>
    <w:rsid w:val="14953C66"/>
    <w:rsid w:val="14A56630"/>
    <w:rsid w:val="155A5C64"/>
    <w:rsid w:val="15E72011"/>
    <w:rsid w:val="16032A72"/>
    <w:rsid w:val="163F21FC"/>
    <w:rsid w:val="16B117B2"/>
    <w:rsid w:val="1740136A"/>
    <w:rsid w:val="18A017D0"/>
    <w:rsid w:val="18B40D68"/>
    <w:rsid w:val="1920603D"/>
    <w:rsid w:val="19BE75D5"/>
    <w:rsid w:val="19D156D5"/>
    <w:rsid w:val="19F438AD"/>
    <w:rsid w:val="1B1E67F9"/>
    <w:rsid w:val="1B55718B"/>
    <w:rsid w:val="1BBF01D1"/>
    <w:rsid w:val="1DDF6CDF"/>
    <w:rsid w:val="1F3E042B"/>
    <w:rsid w:val="206A5AD0"/>
    <w:rsid w:val="218B57C8"/>
    <w:rsid w:val="22040172"/>
    <w:rsid w:val="22261F52"/>
    <w:rsid w:val="227B7559"/>
    <w:rsid w:val="227D7C28"/>
    <w:rsid w:val="23C53D86"/>
    <w:rsid w:val="23F82917"/>
    <w:rsid w:val="24015D59"/>
    <w:rsid w:val="247E30D0"/>
    <w:rsid w:val="249621E5"/>
    <w:rsid w:val="249C332D"/>
    <w:rsid w:val="24BD67EB"/>
    <w:rsid w:val="24D13FDD"/>
    <w:rsid w:val="2529624F"/>
    <w:rsid w:val="26C9241A"/>
    <w:rsid w:val="26E53D16"/>
    <w:rsid w:val="273C148D"/>
    <w:rsid w:val="277D6996"/>
    <w:rsid w:val="2781206F"/>
    <w:rsid w:val="278475AC"/>
    <w:rsid w:val="280705CF"/>
    <w:rsid w:val="2853500D"/>
    <w:rsid w:val="296718CC"/>
    <w:rsid w:val="29962E3B"/>
    <w:rsid w:val="29D972DD"/>
    <w:rsid w:val="29FF63B1"/>
    <w:rsid w:val="2B87588A"/>
    <w:rsid w:val="2B920E35"/>
    <w:rsid w:val="2BAB09E5"/>
    <w:rsid w:val="2C3957F2"/>
    <w:rsid w:val="2C6132AD"/>
    <w:rsid w:val="2CC02285"/>
    <w:rsid w:val="2CFD291E"/>
    <w:rsid w:val="2D1812EA"/>
    <w:rsid w:val="2D4B53F8"/>
    <w:rsid w:val="2D6F5CAE"/>
    <w:rsid w:val="2DD7361B"/>
    <w:rsid w:val="2F341465"/>
    <w:rsid w:val="307165CD"/>
    <w:rsid w:val="316B6F01"/>
    <w:rsid w:val="31D34E77"/>
    <w:rsid w:val="327C0651"/>
    <w:rsid w:val="32F96E5D"/>
    <w:rsid w:val="33BC28F8"/>
    <w:rsid w:val="343C181D"/>
    <w:rsid w:val="34B26D5D"/>
    <w:rsid w:val="35572EC3"/>
    <w:rsid w:val="35EF391E"/>
    <w:rsid w:val="3604148F"/>
    <w:rsid w:val="36445510"/>
    <w:rsid w:val="367000B2"/>
    <w:rsid w:val="36DB7AC9"/>
    <w:rsid w:val="38A87DE8"/>
    <w:rsid w:val="38D109A9"/>
    <w:rsid w:val="38D57F98"/>
    <w:rsid w:val="38E96500"/>
    <w:rsid w:val="393850E7"/>
    <w:rsid w:val="39441E7B"/>
    <w:rsid w:val="39F504C6"/>
    <w:rsid w:val="3A223195"/>
    <w:rsid w:val="3BE36094"/>
    <w:rsid w:val="3C2B76EC"/>
    <w:rsid w:val="3C6F5F56"/>
    <w:rsid w:val="3C780677"/>
    <w:rsid w:val="3CD619A2"/>
    <w:rsid w:val="3CE40590"/>
    <w:rsid w:val="3F4003A2"/>
    <w:rsid w:val="3FDB660C"/>
    <w:rsid w:val="405555FE"/>
    <w:rsid w:val="40DE674C"/>
    <w:rsid w:val="41C20D84"/>
    <w:rsid w:val="420D6DE3"/>
    <w:rsid w:val="438038CD"/>
    <w:rsid w:val="43813BE8"/>
    <w:rsid w:val="44921407"/>
    <w:rsid w:val="44B02C63"/>
    <w:rsid w:val="45473DD6"/>
    <w:rsid w:val="45486818"/>
    <w:rsid w:val="45873B9E"/>
    <w:rsid w:val="45E9196F"/>
    <w:rsid w:val="46561836"/>
    <w:rsid w:val="469D49BC"/>
    <w:rsid w:val="46B27E3D"/>
    <w:rsid w:val="488F1B00"/>
    <w:rsid w:val="48A52518"/>
    <w:rsid w:val="49453D5E"/>
    <w:rsid w:val="49900FBF"/>
    <w:rsid w:val="4A11747C"/>
    <w:rsid w:val="4A646B06"/>
    <w:rsid w:val="4AD20F98"/>
    <w:rsid w:val="4B0E3842"/>
    <w:rsid w:val="4B74697D"/>
    <w:rsid w:val="4B8768C5"/>
    <w:rsid w:val="4BFB12E4"/>
    <w:rsid w:val="4C052251"/>
    <w:rsid w:val="4CC968F1"/>
    <w:rsid w:val="4D8D08FA"/>
    <w:rsid w:val="4DBE3EA4"/>
    <w:rsid w:val="4EAA1E75"/>
    <w:rsid w:val="501D4AA3"/>
    <w:rsid w:val="5093216D"/>
    <w:rsid w:val="50C8669D"/>
    <w:rsid w:val="51A87F20"/>
    <w:rsid w:val="51BD6549"/>
    <w:rsid w:val="51EA7325"/>
    <w:rsid w:val="527D6C7F"/>
    <w:rsid w:val="5386721B"/>
    <w:rsid w:val="54B84FF0"/>
    <w:rsid w:val="54DF3F75"/>
    <w:rsid w:val="556307CA"/>
    <w:rsid w:val="556755C3"/>
    <w:rsid w:val="55DF727A"/>
    <w:rsid w:val="55E733AF"/>
    <w:rsid w:val="570E6F6E"/>
    <w:rsid w:val="574837DE"/>
    <w:rsid w:val="57A20E46"/>
    <w:rsid w:val="587439CA"/>
    <w:rsid w:val="5967493B"/>
    <w:rsid w:val="5C0F5ECE"/>
    <w:rsid w:val="5D6C56D3"/>
    <w:rsid w:val="5E071FDA"/>
    <w:rsid w:val="5F1115F6"/>
    <w:rsid w:val="5F24373C"/>
    <w:rsid w:val="5F332C06"/>
    <w:rsid w:val="5F7432EE"/>
    <w:rsid w:val="5FBB77C9"/>
    <w:rsid w:val="5FDA72F3"/>
    <w:rsid w:val="60A55186"/>
    <w:rsid w:val="60D44CCE"/>
    <w:rsid w:val="611B0228"/>
    <w:rsid w:val="61237167"/>
    <w:rsid w:val="61A16F86"/>
    <w:rsid w:val="627D22F5"/>
    <w:rsid w:val="63B80F98"/>
    <w:rsid w:val="63D950CC"/>
    <w:rsid w:val="645B3E37"/>
    <w:rsid w:val="64CC22D6"/>
    <w:rsid w:val="657C664F"/>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D94DF5"/>
    <w:rsid w:val="6DF96E93"/>
    <w:rsid w:val="6E56517D"/>
    <w:rsid w:val="6F3F11CA"/>
    <w:rsid w:val="6F7C5210"/>
    <w:rsid w:val="70172DE1"/>
    <w:rsid w:val="7021607F"/>
    <w:rsid w:val="70C61536"/>
    <w:rsid w:val="70E25D19"/>
    <w:rsid w:val="712B40AC"/>
    <w:rsid w:val="71743189"/>
    <w:rsid w:val="71D4623C"/>
    <w:rsid w:val="726657B6"/>
    <w:rsid w:val="72B703DB"/>
    <w:rsid w:val="72EC2B19"/>
    <w:rsid w:val="73EA0FA4"/>
    <w:rsid w:val="73F3733E"/>
    <w:rsid w:val="747A4D6C"/>
    <w:rsid w:val="74E7015A"/>
    <w:rsid w:val="763A00A4"/>
    <w:rsid w:val="768F6F06"/>
    <w:rsid w:val="77E12678"/>
    <w:rsid w:val="77E164E9"/>
    <w:rsid w:val="78066B35"/>
    <w:rsid w:val="7822226C"/>
    <w:rsid w:val="78454039"/>
    <w:rsid w:val="78532FAF"/>
    <w:rsid w:val="78571D34"/>
    <w:rsid w:val="788F5AFA"/>
    <w:rsid w:val="78D2638A"/>
    <w:rsid w:val="79796D50"/>
    <w:rsid w:val="79F51317"/>
    <w:rsid w:val="7B4E3F05"/>
    <w:rsid w:val="7BA40CAD"/>
    <w:rsid w:val="7BA8781C"/>
    <w:rsid w:val="7CD438A5"/>
    <w:rsid w:val="7CE34D56"/>
    <w:rsid w:val="7CF25F07"/>
    <w:rsid w:val="7E450F42"/>
    <w:rsid w:val="7E550A37"/>
    <w:rsid w:val="7F0B4762"/>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keepNext/>
      <w:keepLines/>
      <w:spacing w:before="340" w:after="330" w:line="240" w:lineRule="auto"/>
      <w:outlineLvl w:val="0"/>
    </w:pPr>
    <w:rPr>
      <w:rFonts w:ascii="Arial" w:hAnsi="Arial"/>
      <w:bCs/>
      <w:kern w:val="44"/>
      <w:sz w:val="28"/>
      <w:szCs w:val="44"/>
    </w:rPr>
  </w:style>
  <w:style w:type="paragraph" w:styleId="5">
    <w:name w:val="heading 2"/>
    <w:basedOn w:val="6"/>
    <w:next w:val="1"/>
    <w:link w:val="54"/>
    <w:qFormat/>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57"/>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9"/>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0"/>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1"/>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2"/>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3"/>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0"/>
    <w:qFormat/>
    <w:uiPriority w:val="0"/>
    <w:pPr>
      <w:ind w:firstLine="420"/>
    </w:pPr>
    <w:rPr>
      <w:rFonts w:asciiTheme="minorHAnsi" w:hAnsiTheme="minorHAnsi" w:cstheme="minorBidi"/>
      <w:szCs w:val="22"/>
    </w:rPr>
  </w:style>
  <w:style w:type="paragraph" w:styleId="15">
    <w:name w:val="Document Map"/>
    <w:basedOn w:val="1"/>
    <w:link w:val="91"/>
    <w:semiHidden/>
    <w:qFormat/>
    <w:uiPriority w:val="0"/>
    <w:pPr>
      <w:shd w:val="clear" w:color="auto" w:fill="000080"/>
    </w:pPr>
  </w:style>
  <w:style w:type="paragraph" w:styleId="16">
    <w:name w:val="annotation text"/>
    <w:basedOn w:val="1"/>
    <w:next w:val="17"/>
    <w:link w:val="69"/>
    <w:qFormat/>
    <w:uiPriority w:val="0"/>
    <w:pPr>
      <w:jc w:val="left"/>
    </w:pPr>
    <w:rPr>
      <w:rFonts w:eastAsiaTheme="minorEastAsia" w:cstheme="minorBidi"/>
      <w:sz w:val="28"/>
    </w:rPr>
  </w:style>
  <w:style w:type="paragraph" w:styleId="17">
    <w:name w:val="Balloon Text"/>
    <w:basedOn w:val="1"/>
    <w:link w:val="70"/>
    <w:semiHidden/>
    <w:qFormat/>
    <w:uiPriority w:val="0"/>
    <w:rPr>
      <w:sz w:val="28"/>
      <w:szCs w:val="18"/>
    </w:rPr>
  </w:style>
  <w:style w:type="paragraph" w:styleId="18">
    <w:name w:val="Body Text 3"/>
    <w:basedOn w:val="1"/>
    <w:link w:val="144"/>
    <w:qFormat/>
    <w:uiPriority w:val="0"/>
    <w:pPr>
      <w:spacing w:after="120"/>
    </w:pPr>
    <w:rPr>
      <w:rFonts w:ascii="Calibri" w:hAnsi="Calibri"/>
      <w:sz w:val="16"/>
      <w:szCs w:val="16"/>
    </w:rPr>
  </w:style>
  <w:style w:type="paragraph" w:styleId="19">
    <w:name w:val="Body Text"/>
    <w:basedOn w:val="1"/>
    <w:link w:val="132"/>
    <w:qFormat/>
    <w:uiPriority w:val="0"/>
    <w:pPr>
      <w:spacing w:after="120"/>
    </w:pPr>
    <w:rPr>
      <w:rFonts w:ascii="Calibri" w:hAnsi="Calibri"/>
    </w:rPr>
  </w:style>
  <w:style w:type="paragraph" w:styleId="20">
    <w:name w:val="Body Text Indent"/>
    <w:basedOn w:val="1"/>
    <w:link w:val="79"/>
    <w:qFormat/>
    <w:uiPriority w:val="0"/>
    <w:pPr>
      <w:ind w:firstLine="570"/>
    </w:pPr>
    <w:rPr>
      <w:rFonts w:ascii="宋体" w:hAnsi="宋体"/>
      <w:sz w:val="24"/>
    </w:rPr>
  </w:style>
  <w:style w:type="paragraph" w:styleId="2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link w:val="95"/>
    <w:qFormat/>
    <w:uiPriority w:val="0"/>
    <w:rPr>
      <w:rFonts w:ascii="宋体" w:hAnsi="Courier New" w:cstheme="minorBidi"/>
    </w:rPr>
  </w:style>
  <w:style w:type="paragraph" w:styleId="25">
    <w:name w:val="toc 8"/>
    <w:basedOn w:val="1"/>
    <w:next w:val="1"/>
    <w:qFormat/>
    <w:uiPriority w:val="0"/>
    <w:pPr>
      <w:ind w:left="1470"/>
      <w:jc w:val="left"/>
    </w:pPr>
    <w:rPr>
      <w:rFonts w:ascii="Calibri" w:hAnsi="Calibri" w:cs="Calibri"/>
      <w:sz w:val="18"/>
      <w:szCs w:val="18"/>
    </w:rPr>
  </w:style>
  <w:style w:type="paragraph" w:styleId="26">
    <w:name w:val="Date"/>
    <w:basedOn w:val="1"/>
    <w:next w:val="1"/>
    <w:link w:val="85"/>
    <w:qFormat/>
    <w:uiPriority w:val="0"/>
    <w:pPr>
      <w:ind w:left="100" w:leftChars="2500"/>
    </w:pPr>
    <w:rPr>
      <w:sz w:val="28"/>
    </w:rPr>
  </w:style>
  <w:style w:type="paragraph" w:styleId="27">
    <w:name w:val="Body Text Indent 2"/>
    <w:basedOn w:val="1"/>
    <w:link w:val="89"/>
    <w:qFormat/>
    <w:uiPriority w:val="0"/>
    <w:pPr>
      <w:spacing w:line="300" w:lineRule="auto"/>
      <w:ind w:firstLine="540" w:firstLineChars="225"/>
    </w:pPr>
    <w:rPr>
      <w:rFonts w:ascii="宋体" w:hAnsi="宋体"/>
      <w:color w:val="000000"/>
      <w:sz w:val="24"/>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0"/>
    <w:pPr>
      <w:ind w:left="630"/>
      <w:jc w:val="left"/>
    </w:pPr>
    <w:rPr>
      <w:rFonts w:ascii="Calibri" w:hAnsi="Calibri" w:cs="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style>
  <w:style w:type="paragraph" w:styleId="34">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3"/>
    <w:qFormat/>
    <w:uiPriority w:val="0"/>
    <w:pPr>
      <w:snapToGrid w:val="0"/>
      <w:jc w:val="left"/>
    </w:pPr>
    <w:rPr>
      <w:sz w:val="18"/>
      <w:szCs w:val="18"/>
    </w:rPr>
  </w:style>
  <w:style w:type="paragraph" w:styleId="36">
    <w:name w:val="toc 6"/>
    <w:basedOn w:val="1"/>
    <w:next w:val="1"/>
    <w:qFormat/>
    <w:uiPriority w:val="0"/>
    <w:pPr>
      <w:ind w:left="1050"/>
      <w:jc w:val="left"/>
    </w:pPr>
    <w:rPr>
      <w:rFonts w:ascii="Calibri" w:hAnsi="Calibri" w:cs="Calibri"/>
      <w:sz w:val="18"/>
      <w:szCs w:val="18"/>
    </w:rPr>
  </w:style>
  <w:style w:type="paragraph" w:styleId="37">
    <w:name w:val="Body Text Indent 3"/>
    <w:basedOn w:val="1"/>
    <w:link w:val="73"/>
    <w:qFormat/>
    <w:uiPriority w:val="0"/>
    <w:pPr>
      <w:snapToGrid w:val="0"/>
      <w:spacing w:after="120" w:line="360" w:lineRule="auto"/>
      <w:ind w:firstLine="1365"/>
    </w:pPr>
    <w:rPr>
      <w:rFonts w:ascii="宋体"/>
      <w:sz w:val="28"/>
      <w:szCs w:val="20"/>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1680"/>
      <w:jc w:val="left"/>
    </w:pPr>
    <w:rPr>
      <w:rFonts w:ascii="Calibri" w:hAnsi="Calibri" w:cs="Calibri"/>
      <w:sz w:val="18"/>
      <w:szCs w:val="18"/>
    </w:rPr>
  </w:style>
  <w:style w:type="paragraph" w:styleId="40">
    <w:name w:val="HTML Preformatted"/>
    <w:basedOn w:val="1"/>
    <w:link w:val="1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annotation subject"/>
    <w:basedOn w:val="16"/>
    <w:next w:val="16"/>
    <w:link w:val="75"/>
    <w:semiHidden/>
    <w:qFormat/>
    <w:uiPriority w:val="0"/>
    <w:rPr>
      <w:rFonts w:eastAsia="宋体" w:cs="Times New Roman"/>
      <w:b/>
      <w:bCs/>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标题 1 Char"/>
    <w:basedOn w:val="45"/>
    <w:link w:val="3"/>
    <w:qFormat/>
    <w:uiPriority w:val="0"/>
    <w:rPr>
      <w:rFonts w:ascii="Arial" w:hAnsi="Arial" w:eastAsia="宋体" w:cs="Times New Roman"/>
      <w:b/>
      <w:bCs/>
      <w:kern w:val="44"/>
      <w:sz w:val="28"/>
      <w:szCs w:val="44"/>
    </w:rPr>
  </w:style>
  <w:style w:type="character" w:customStyle="1" w:styleId="54">
    <w:name w:val="标题 2 Char"/>
    <w:basedOn w:val="45"/>
    <w:link w:val="5"/>
    <w:qFormat/>
    <w:uiPriority w:val="0"/>
    <w:rPr>
      <w:rFonts w:ascii="Arial" w:hAnsi="Arial" w:eastAsia="宋体" w:cs="Times New Roman"/>
      <w:b/>
      <w:bCs/>
      <w:kern w:val="0"/>
      <w:sz w:val="24"/>
      <w:szCs w:val="32"/>
    </w:rPr>
  </w:style>
  <w:style w:type="character" w:customStyle="1" w:styleId="55">
    <w:name w:val="页眉 Char"/>
    <w:basedOn w:val="45"/>
    <w:link w:val="29"/>
    <w:qFormat/>
    <w:uiPriority w:val="0"/>
    <w:rPr>
      <w:sz w:val="18"/>
      <w:szCs w:val="18"/>
    </w:rPr>
  </w:style>
  <w:style w:type="character" w:customStyle="1" w:styleId="56">
    <w:name w:val="页脚 Char"/>
    <w:basedOn w:val="45"/>
    <w:link w:val="28"/>
    <w:qFormat/>
    <w:uiPriority w:val="0"/>
    <w:rPr>
      <w:sz w:val="18"/>
      <w:szCs w:val="18"/>
    </w:rPr>
  </w:style>
  <w:style w:type="character" w:customStyle="1" w:styleId="57">
    <w:name w:val="标题 3 Char"/>
    <w:basedOn w:val="45"/>
    <w:link w:val="6"/>
    <w:qFormat/>
    <w:uiPriority w:val="0"/>
    <w:rPr>
      <w:rFonts w:ascii="Times New Roman" w:hAnsi="Times New Roman" w:eastAsia="宋体" w:cs="Times New Roman"/>
      <w:b/>
      <w:bCs/>
      <w:kern w:val="0"/>
      <w:sz w:val="24"/>
      <w:szCs w:val="32"/>
    </w:rPr>
  </w:style>
  <w:style w:type="character" w:customStyle="1" w:styleId="58">
    <w:name w:val="标题 4 Char"/>
    <w:basedOn w:val="45"/>
    <w:link w:val="7"/>
    <w:qFormat/>
    <w:uiPriority w:val="9"/>
    <w:rPr>
      <w:rFonts w:ascii="Cambria" w:hAnsi="Cambria" w:eastAsia="宋体" w:cs="Times New Roman"/>
      <w:b/>
      <w:bCs/>
      <w:kern w:val="0"/>
      <w:sz w:val="28"/>
      <w:szCs w:val="28"/>
    </w:rPr>
  </w:style>
  <w:style w:type="character" w:customStyle="1" w:styleId="59">
    <w:name w:val="标题 5 Char"/>
    <w:basedOn w:val="45"/>
    <w:link w:val="8"/>
    <w:qFormat/>
    <w:uiPriority w:val="0"/>
    <w:rPr>
      <w:rFonts w:ascii="Calibri" w:hAnsi="Calibri" w:eastAsia="宋体" w:cs="Times New Roman"/>
      <w:b/>
      <w:bCs/>
      <w:kern w:val="0"/>
      <w:sz w:val="28"/>
      <w:szCs w:val="28"/>
    </w:rPr>
  </w:style>
  <w:style w:type="character" w:customStyle="1" w:styleId="60">
    <w:name w:val="标题 6 Char"/>
    <w:basedOn w:val="45"/>
    <w:link w:val="9"/>
    <w:qFormat/>
    <w:uiPriority w:val="0"/>
    <w:rPr>
      <w:rFonts w:ascii="Arial" w:hAnsi="Arial" w:eastAsia="黑体" w:cs="Times New Roman"/>
      <w:b/>
      <w:bCs/>
      <w:kern w:val="0"/>
      <w:sz w:val="24"/>
      <w:szCs w:val="24"/>
    </w:rPr>
  </w:style>
  <w:style w:type="character" w:customStyle="1" w:styleId="61">
    <w:name w:val="标题 7 Char"/>
    <w:basedOn w:val="45"/>
    <w:link w:val="10"/>
    <w:qFormat/>
    <w:uiPriority w:val="0"/>
    <w:rPr>
      <w:rFonts w:ascii="Calibri" w:hAnsi="Calibri" w:eastAsia="宋体" w:cs="Times New Roman"/>
      <w:b/>
      <w:bCs/>
      <w:kern w:val="0"/>
      <w:sz w:val="24"/>
      <w:szCs w:val="24"/>
    </w:rPr>
  </w:style>
  <w:style w:type="character" w:customStyle="1" w:styleId="62">
    <w:name w:val="标题 8 Char"/>
    <w:basedOn w:val="45"/>
    <w:link w:val="11"/>
    <w:qFormat/>
    <w:uiPriority w:val="0"/>
    <w:rPr>
      <w:rFonts w:ascii="Arial" w:hAnsi="Arial" w:eastAsia="黑体" w:cs="Times New Roman"/>
      <w:kern w:val="0"/>
      <w:sz w:val="24"/>
      <w:szCs w:val="24"/>
    </w:rPr>
  </w:style>
  <w:style w:type="character" w:customStyle="1" w:styleId="63">
    <w:name w:val="标题 9 Char"/>
    <w:basedOn w:val="45"/>
    <w:link w:val="12"/>
    <w:qFormat/>
    <w:uiPriority w:val="0"/>
    <w:rPr>
      <w:rFonts w:ascii="Arial" w:hAnsi="Arial" w:eastAsia="黑体" w:cs="Times New Roman"/>
      <w:kern w:val="0"/>
      <w:szCs w:val="21"/>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页眉1 Char"/>
    <w:link w:val="66"/>
    <w:qFormat/>
    <w:uiPriority w:val="0"/>
    <w:rPr>
      <w:sz w:val="18"/>
      <w:szCs w:val="18"/>
    </w:rPr>
  </w:style>
  <w:style w:type="paragraph" w:customStyle="1" w:styleId="66">
    <w:name w:val="页眉1"/>
    <w:basedOn w:val="29"/>
    <w:link w:val="65"/>
    <w:qFormat/>
    <w:uiPriority w:val="0"/>
    <w:pPr>
      <w:pBdr>
        <w:bottom w:val="none" w:color="auto" w:sz="0" w:space="0"/>
      </w:pBdr>
      <w:jc w:val="both"/>
    </w:pPr>
  </w:style>
  <w:style w:type="character" w:customStyle="1" w:styleId="67">
    <w:name w:val="unnamed1"/>
    <w:basedOn w:val="45"/>
    <w:qFormat/>
    <w:uiPriority w:val="0"/>
  </w:style>
  <w:style w:type="character" w:customStyle="1" w:styleId="68">
    <w:name w:val="批注文字 Char"/>
    <w:link w:val="16"/>
    <w:qFormat/>
    <w:uiPriority w:val="0"/>
    <w:rPr>
      <w:rFonts w:ascii="Times New Roman" w:hAnsi="Times New Roman"/>
      <w:sz w:val="28"/>
      <w:szCs w:val="24"/>
    </w:rPr>
  </w:style>
  <w:style w:type="character" w:customStyle="1" w:styleId="69">
    <w:name w:val="批注文字 Char1"/>
    <w:basedOn w:val="45"/>
    <w:link w:val="16"/>
    <w:semiHidden/>
    <w:qFormat/>
    <w:uiPriority w:val="99"/>
    <w:rPr>
      <w:rFonts w:ascii="Times New Roman" w:hAnsi="Times New Roman" w:eastAsia="宋体" w:cs="Times New Roman"/>
      <w:szCs w:val="24"/>
    </w:rPr>
  </w:style>
  <w:style w:type="character" w:customStyle="1" w:styleId="70">
    <w:name w:val="批注框文本 Char"/>
    <w:basedOn w:val="45"/>
    <w:link w:val="17"/>
    <w:semiHidden/>
    <w:qFormat/>
    <w:uiPriority w:val="0"/>
    <w:rPr>
      <w:rFonts w:ascii="Times New Roman" w:hAnsi="Times New Roman" w:eastAsia="宋体" w:cs="Times New Roman"/>
      <w:sz w:val="28"/>
      <w:szCs w:val="18"/>
    </w:rPr>
  </w:style>
  <w:style w:type="character" w:customStyle="1" w:styleId="71">
    <w:name w:val="apple-converted-space"/>
    <w:qFormat/>
    <w:uiPriority w:val="99"/>
    <w:rPr>
      <w:rFonts w:cs="Times New Roman"/>
    </w:rPr>
  </w:style>
  <w:style w:type="character" w:customStyle="1" w:styleId="72">
    <w:name w:val="正文文本缩进 3 Char"/>
    <w:link w:val="37"/>
    <w:qFormat/>
    <w:uiPriority w:val="0"/>
    <w:rPr>
      <w:rFonts w:ascii="宋体" w:hAnsi="Times New Roman" w:eastAsia="宋体" w:cs="Times New Roman"/>
      <w:sz w:val="28"/>
      <w:szCs w:val="20"/>
    </w:rPr>
  </w:style>
  <w:style w:type="character" w:customStyle="1" w:styleId="73">
    <w:name w:val="正文文本缩进 3 Char1"/>
    <w:basedOn w:val="45"/>
    <w:link w:val="37"/>
    <w:semiHidden/>
    <w:qFormat/>
    <w:uiPriority w:val="99"/>
    <w:rPr>
      <w:rFonts w:ascii="Times New Roman" w:hAnsi="Times New Roman" w:eastAsia="宋体" w:cs="Times New Roman"/>
      <w:sz w:val="16"/>
      <w:szCs w:val="16"/>
    </w:rPr>
  </w:style>
  <w:style w:type="character" w:customStyle="1" w:styleId="74">
    <w:name w:val="批注主题 Char"/>
    <w:link w:val="42"/>
    <w:semiHidden/>
    <w:qFormat/>
    <w:uiPriority w:val="0"/>
    <w:rPr>
      <w:rFonts w:ascii="Times New Roman" w:hAnsi="Times New Roman" w:eastAsia="宋体" w:cs="Times New Roman"/>
      <w:b/>
      <w:bCs/>
      <w:szCs w:val="24"/>
    </w:rPr>
  </w:style>
  <w:style w:type="character" w:customStyle="1" w:styleId="75">
    <w:name w:val="批注主题 Char1"/>
    <w:basedOn w:val="69"/>
    <w:link w:val="42"/>
    <w:semiHidden/>
    <w:qFormat/>
    <w:uiPriority w:val="99"/>
    <w:rPr>
      <w:b/>
      <w:bCs/>
    </w:rPr>
  </w:style>
  <w:style w:type="character" w:customStyle="1" w:styleId="76">
    <w:name w:val="h2"/>
    <w:qFormat/>
    <w:uiPriority w:val="0"/>
    <w:rPr>
      <w:color w:val="000000"/>
      <w:sz w:val="24"/>
      <w:szCs w:val="24"/>
    </w:rPr>
  </w:style>
  <w:style w:type="character" w:customStyle="1" w:styleId="77">
    <w:name w:val="font61"/>
    <w:qFormat/>
    <w:uiPriority w:val="0"/>
    <w:rPr>
      <w:rFonts w:hint="eastAsia" w:ascii="宋体" w:hAnsi="宋体" w:eastAsia="宋体" w:cs="宋体"/>
      <w:color w:val="000000"/>
      <w:sz w:val="20"/>
      <w:szCs w:val="20"/>
      <w:u w:val="none"/>
    </w:rPr>
  </w:style>
  <w:style w:type="character" w:customStyle="1" w:styleId="78">
    <w:name w:val="正文文本缩进 Char"/>
    <w:link w:val="20"/>
    <w:qFormat/>
    <w:uiPriority w:val="0"/>
    <w:rPr>
      <w:rFonts w:ascii="宋体" w:hAnsi="宋体" w:eastAsia="宋体" w:cs="Times New Roman"/>
      <w:sz w:val="24"/>
      <w:szCs w:val="24"/>
    </w:rPr>
  </w:style>
  <w:style w:type="character" w:customStyle="1" w:styleId="79">
    <w:name w:val="正文文本缩进 Char1"/>
    <w:basedOn w:val="45"/>
    <w:link w:val="20"/>
    <w:semiHidden/>
    <w:qFormat/>
    <w:uiPriority w:val="99"/>
    <w:rPr>
      <w:rFonts w:ascii="Times New Roman" w:hAnsi="Times New Roman" w:eastAsia="宋体" w:cs="Times New Roman"/>
      <w:szCs w:val="24"/>
    </w:rPr>
  </w:style>
  <w:style w:type="character" w:customStyle="1" w:styleId="80">
    <w:name w:val="正文缩进 Char"/>
    <w:link w:val="14"/>
    <w:qFormat/>
    <w:uiPriority w:val="0"/>
    <w:rPr>
      <w:rFonts w:eastAsia="宋体"/>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脚注文本 Char"/>
    <w:link w:val="35"/>
    <w:qFormat/>
    <w:uiPriority w:val="0"/>
    <w:rPr>
      <w:rFonts w:ascii="Times New Roman" w:hAnsi="Times New Roman" w:eastAsia="宋体" w:cs="Times New Roman"/>
      <w:sz w:val="18"/>
      <w:szCs w:val="18"/>
    </w:rPr>
  </w:style>
  <w:style w:type="character" w:customStyle="1" w:styleId="83">
    <w:name w:val="脚注文本 Char1"/>
    <w:basedOn w:val="45"/>
    <w:link w:val="35"/>
    <w:semiHidden/>
    <w:qFormat/>
    <w:uiPriority w:val="99"/>
    <w:rPr>
      <w:rFonts w:ascii="Times New Roman" w:hAnsi="Times New Roman" w:eastAsia="宋体" w:cs="Times New Roman"/>
      <w:sz w:val="18"/>
      <w:szCs w:val="18"/>
    </w:rPr>
  </w:style>
  <w:style w:type="character" w:customStyle="1" w:styleId="84">
    <w:name w:val="日期 Char"/>
    <w:link w:val="26"/>
    <w:qFormat/>
    <w:uiPriority w:val="0"/>
    <w:rPr>
      <w:rFonts w:ascii="Times New Roman" w:hAnsi="Times New Roman" w:eastAsia="宋体" w:cs="Times New Roman"/>
      <w:sz w:val="28"/>
      <w:szCs w:val="24"/>
    </w:rPr>
  </w:style>
  <w:style w:type="character" w:customStyle="1" w:styleId="85">
    <w:name w:val="日期 Char1"/>
    <w:basedOn w:val="45"/>
    <w:link w:val="26"/>
    <w:semiHidden/>
    <w:qFormat/>
    <w:uiPriority w:val="99"/>
    <w:rPr>
      <w:rFonts w:ascii="Times New Roman" w:hAnsi="Times New Roman" w:eastAsia="宋体" w:cs="Times New Roman"/>
      <w:szCs w:val="24"/>
    </w:rPr>
  </w:style>
  <w:style w:type="character" w:customStyle="1" w:styleId="86">
    <w:name w:val="副标题 Char"/>
    <w:link w:val="34"/>
    <w:qFormat/>
    <w:uiPriority w:val="0"/>
    <w:rPr>
      <w:rFonts w:ascii="Cambria" w:hAnsi="Cambria" w:eastAsia="宋体" w:cs="Times New Roman"/>
      <w:b/>
      <w:bCs/>
      <w:kern w:val="28"/>
      <w:sz w:val="32"/>
      <w:szCs w:val="32"/>
    </w:rPr>
  </w:style>
  <w:style w:type="character" w:customStyle="1" w:styleId="87">
    <w:name w:val="副标题 Char1"/>
    <w:basedOn w:val="45"/>
    <w:link w:val="34"/>
    <w:qFormat/>
    <w:uiPriority w:val="11"/>
    <w:rPr>
      <w:rFonts w:eastAsia="宋体" w:asciiTheme="majorHAnsi" w:hAnsiTheme="majorHAnsi" w:cstheme="majorBidi"/>
      <w:b/>
      <w:bCs/>
      <w:kern w:val="28"/>
      <w:sz w:val="32"/>
      <w:szCs w:val="32"/>
    </w:rPr>
  </w:style>
  <w:style w:type="character" w:customStyle="1" w:styleId="88">
    <w:name w:val="正文文本缩进 2 Char"/>
    <w:link w:val="27"/>
    <w:qFormat/>
    <w:uiPriority w:val="0"/>
    <w:rPr>
      <w:rFonts w:ascii="宋体" w:hAnsi="宋体" w:eastAsia="宋体" w:cs="Times New Roman"/>
      <w:color w:val="000000"/>
      <w:sz w:val="24"/>
      <w:szCs w:val="24"/>
    </w:rPr>
  </w:style>
  <w:style w:type="character" w:customStyle="1" w:styleId="89">
    <w:name w:val="正文文本缩进 2 Char1"/>
    <w:basedOn w:val="45"/>
    <w:link w:val="27"/>
    <w:semiHidden/>
    <w:qFormat/>
    <w:uiPriority w:val="99"/>
    <w:rPr>
      <w:rFonts w:ascii="Times New Roman" w:hAnsi="Times New Roman" w:eastAsia="宋体" w:cs="Times New Roman"/>
      <w:szCs w:val="24"/>
    </w:rPr>
  </w:style>
  <w:style w:type="character" w:customStyle="1" w:styleId="90">
    <w:name w:val="文档结构图 Char"/>
    <w:link w:val="15"/>
    <w:semiHidden/>
    <w:qFormat/>
    <w:uiPriority w:val="0"/>
    <w:rPr>
      <w:rFonts w:ascii="Times New Roman" w:hAnsi="Times New Roman" w:eastAsia="宋体" w:cs="Times New Roman"/>
      <w:szCs w:val="24"/>
      <w:shd w:val="clear" w:color="auto" w:fill="000080"/>
    </w:rPr>
  </w:style>
  <w:style w:type="character" w:customStyle="1" w:styleId="91">
    <w:name w:val="文档结构图 Char1"/>
    <w:basedOn w:val="45"/>
    <w:link w:val="15"/>
    <w:semiHidden/>
    <w:qFormat/>
    <w:uiPriority w:val="99"/>
    <w:rPr>
      <w:rFonts w:ascii="宋体" w:hAnsi="Times New Roman" w:eastAsia="宋体" w:cs="Times New Roman"/>
      <w:sz w:val="18"/>
      <w:szCs w:val="18"/>
    </w:rPr>
  </w:style>
  <w:style w:type="character" w:customStyle="1" w:styleId="92">
    <w:name w:val="列出段落 Char"/>
    <w:link w:val="93"/>
    <w:qFormat/>
    <w:locked/>
    <w:uiPriority w:val="99"/>
    <w:rPr>
      <w:rFonts w:ascii="Times New Roman" w:hAnsi="Times New Roman"/>
      <w:szCs w:val="24"/>
    </w:rPr>
  </w:style>
  <w:style w:type="paragraph" w:styleId="93">
    <w:name w:val="List Paragraph"/>
    <w:basedOn w:val="1"/>
    <w:link w:val="92"/>
    <w:qFormat/>
    <w:uiPriority w:val="99"/>
    <w:pPr>
      <w:ind w:firstLine="420" w:firstLineChars="200"/>
    </w:pPr>
    <w:rPr>
      <w:rFonts w:eastAsiaTheme="minorEastAsia" w:cstheme="minorBidi"/>
    </w:rPr>
  </w:style>
  <w:style w:type="character" w:customStyle="1" w:styleId="94">
    <w:name w:val="纯文本 Char"/>
    <w:link w:val="24"/>
    <w:qFormat/>
    <w:uiPriority w:val="0"/>
    <w:rPr>
      <w:rFonts w:ascii="宋体" w:hAnsi="Courier New" w:eastAsia="宋体"/>
      <w:szCs w:val="24"/>
    </w:rPr>
  </w:style>
  <w:style w:type="character" w:customStyle="1" w:styleId="95">
    <w:name w:val="纯文本 Char2"/>
    <w:basedOn w:val="45"/>
    <w:link w:val="24"/>
    <w:semiHidden/>
    <w:qFormat/>
    <w:uiPriority w:val="99"/>
    <w:rPr>
      <w:rFonts w:ascii="宋体" w:hAnsi="Courier New" w:eastAsia="宋体" w:cs="Courier New"/>
      <w:szCs w:val="21"/>
    </w:rPr>
  </w:style>
  <w:style w:type="character" w:customStyle="1" w:styleId="96">
    <w:name w:val="font101"/>
    <w:qFormat/>
    <w:uiPriority w:val="0"/>
    <w:rPr>
      <w:rFonts w:hint="eastAsia" w:ascii="黑体" w:hAnsi="宋体" w:eastAsia="黑体" w:cs="黑体"/>
      <w:color w:val="000000"/>
      <w:sz w:val="20"/>
      <w:szCs w:val="20"/>
      <w:u w:val="none"/>
    </w:rPr>
  </w:style>
  <w:style w:type="paragraph" w:customStyle="1" w:styleId="9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w:basedOn w:val="1"/>
    <w:qFormat/>
    <w:uiPriority w:val="0"/>
    <w:pPr>
      <w:widowControl/>
      <w:spacing w:after="160" w:line="240" w:lineRule="exact"/>
      <w:jc w:val="left"/>
    </w:pPr>
    <w:rPr>
      <w:rFonts w:ascii="Verdana" w:hAnsi="Verdana"/>
      <w:kern w:val="0"/>
      <w:szCs w:val="20"/>
      <w:lang w:eastAsia="en-US"/>
    </w:rPr>
  </w:style>
  <w:style w:type="paragraph" w:customStyle="1" w:styleId="100">
    <w:name w:val="_Style 1"/>
    <w:basedOn w:val="1"/>
    <w:qFormat/>
    <w:uiPriority w:val="99"/>
    <w:pPr>
      <w:ind w:firstLine="420" w:firstLineChars="200"/>
    </w:pPr>
  </w:style>
  <w:style w:type="paragraph" w:customStyle="1" w:styleId="10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w:basedOn w:val="1"/>
    <w:qFormat/>
    <w:uiPriority w:val="0"/>
    <w:pPr>
      <w:tabs>
        <w:tab w:val="left" w:pos="0"/>
      </w:tabs>
      <w:ind w:left="964" w:hanging="964"/>
    </w:pPr>
    <w:rPr>
      <w:sz w:val="24"/>
    </w:rPr>
  </w:style>
  <w:style w:type="paragraph" w:customStyle="1" w:styleId="10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4">
    <w:name w:val="Char Char Char Char"/>
    <w:basedOn w:val="1"/>
    <w:qFormat/>
    <w:uiPriority w:val="0"/>
    <w:rPr>
      <w:szCs w:val="20"/>
    </w:rPr>
  </w:style>
  <w:style w:type="paragraph" w:customStyle="1" w:styleId="1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7">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8">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样式2"/>
    <w:basedOn w:val="1"/>
    <w:qFormat/>
    <w:uiPriority w:val="0"/>
    <w:rPr>
      <w:b/>
      <w:sz w:val="24"/>
    </w:rPr>
  </w:style>
  <w:style w:type="paragraph" w:customStyle="1" w:styleId="1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 Char"/>
    <w:basedOn w:val="1"/>
    <w:qFormat/>
    <w:uiPriority w:val="0"/>
    <w:rPr>
      <w:rFonts w:ascii="宋体" w:hAnsi="宋体"/>
      <w:b/>
      <w:sz w:val="28"/>
      <w:szCs w:val="28"/>
    </w:rPr>
  </w:style>
  <w:style w:type="paragraph" w:customStyle="1" w:styleId="113">
    <w:name w:val="列出段落1"/>
    <w:basedOn w:val="1"/>
    <w:qFormat/>
    <w:uiPriority w:val="0"/>
    <w:pPr>
      <w:ind w:firstLine="420" w:firstLineChars="200"/>
    </w:pPr>
    <w:rPr>
      <w:rFonts w:ascii="Calibri" w:hAnsi="Calibri"/>
      <w:szCs w:val="21"/>
    </w:rPr>
  </w:style>
  <w:style w:type="paragraph" w:customStyle="1" w:styleId="114">
    <w:name w:val="Char1 Char Char Char"/>
    <w:basedOn w:val="1"/>
    <w:qFormat/>
    <w:uiPriority w:val="0"/>
    <w:pPr>
      <w:ind w:left="420" w:hanging="420"/>
    </w:pPr>
    <w:rPr>
      <w:sz w:val="24"/>
    </w:rPr>
  </w:style>
  <w:style w:type="paragraph" w:customStyle="1" w:styleId="115">
    <w:name w:val="无间隔1"/>
    <w:link w:val="116"/>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6">
    <w:name w:val="No Spacing Char"/>
    <w:basedOn w:val="45"/>
    <w:link w:val="115"/>
    <w:qFormat/>
    <w:locked/>
    <w:uiPriority w:val="0"/>
    <w:rPr>
      <w:rFonts w:ascii="Times New Roman" w:hAnsi="Times New Roman" w:eastAsia="宋体" w:cs="Times New Roman"/>
      <w:szCs w:val="21"/>
    </w:rPr>
  </w:style>
  <w:style w:type="paragraph" w:customStyle="1" w:styleId="117">
    <w:name w:val="p0"/>
    <w:basedOn w:val="1"/>
    <w:qFormat/>
    <w:uiPriority w:val="0"/>
    <w:pPr>
      <w:widowControl/>
    </w:pPr>
    <w:rPr>
      <w:rFonts w:ascii="Calibri" w:hAnsi="Calibri"/>
      <w:kern w:val="0"/>
      <w:szCs w:val="21"/>
    </w:rPr>
  </w:style>
  <w:style w:type="character" w:customStyle="1" w:styleId="118">
    <w:name w:val="Char Char22"/>
    <w:qFormat/>
    <w:uiPriority w:val="0"/>
    <w:rPr>
      <w:rFonts w:ascii="Times New Roman" w:hAnsi="Times New Roman"/>
      <w:b/>
      <w:bCs/>
      <w:sz w:val="24"/>
      <w:szCs w:val="24"/>
    </w:rPr>
  </w:style>
  <w:style w:type="character" w:customStyle="1" w:styleId="119">
    <w:name w:val="Char Char21"/>
    <w:qFormat/>
    <w:uiPriority w:val="0"/>
    <w:rPr>
      <w:rFonts w:ascii="Arial" w:hAnsi="Arial" w:eastAsia="黑体"/>
      <w:b/>
      <w:bCs/>
      <w:kern w:val="2"/>
      <w:sz w:val="32"/>
      <w:szCs w:val="32"/>
    </w:rPr>
  </w:style>
  <w:style w:type="character" w:customStyle="1" w:styleId="120">
    <w:name w:val="Char Char20"/>
    <w:qFormat/>
    <w:uiPriority w:val="0"/>
    <w:rPr>
      <w:rFonts w:ascii="楷体_GB2312" w:hAnsi="宋体" w:eastAsia="楷体_GB2312"/>
      <w:b/>
      <w:bCs/>
      <w:kern w:val="2"/>
      <w:sz w:val="32"/>
      <w:szCs w:val="24"/>
    </w:rPr>
  </w:style>
  <w:style w:type="character" w:customStyle="1" w:styleId="121">
    <w:name w:val="Char Char19"/>
    <w:qFormat/>
    <w:uiPriority w:val="0"/>
    <w:rPr>
      <w:rFonts w:ascii="Arial" w:hAnsi="Arial" w:eastAsia="黑体"/>
      <w:b/>
      <w:bCs/>
      <w:sz w:val="28"/>
      <w:szCs w:val="28"/>
    </w:rPr>
  </w:style>
  <w:style w:type="character" w:customStyle="1" w:styleId="122">
    <w:name w:val="Char Char13"/>
    <w:qFormat/>
    <w:uiPriority w:val="0"/>
    <w:rPr>
      <w:rFonts w:ascii="Times New Roman" w:hAnsi="Times New Roman"/>
      <w:kern w:val="2"/>
      <w:sz w:val="18"/>
      <w:szCs w:val="18"/>
    </w:rPr>
  </w:style>
  <w:style w:type="character" w:customStyle="1" w:styleId="123">
    <w:name w:val="Char Char12"/>
    <w:qFormat/>
    <w:uiPriority w:val="0"/>
    <w:rPr>
      <w:rFonts w:ascii="Times New Roman" w:hAnsi="Times New Roman"/>
      <w:kern w:val="2"/>
      <w:sz w:val="18"/>
      <w:szCs w:val="18"/>
    </w:rPr>
  </w:style>
  <w:style w:type="character" w:customStyle="1" w:styleId="124">
    <w:name w:val="f141"/>
    <w:qFormat/>
    <w:uiPriority w:val="0"/>
    <w:rPr>
      <w:sz w:val="21"/>
      <w:szCs w:val="21"/>
    </w:rPr>
  </w:style>
  <w:style w:type="character" w:customStyle="1" w:styleId="125">
    <w:name w:val="p141"/>
    <w:qFormat/>
    <w:uiPriority w:val="0"/>
    <w:rPr>
      <w:sz w:val="21"/>
      <w:szCs w:val="21"/>
    </w:rPr>
  </w:style>
  <w:style w:type="character" w:customStyle="1" w:styleId="126">
    <w:name w:val="Char Char2"/>
    <w:qFormat/>
    <w:locked/>
    <w:uiPriority w:val="0"/>
    <w:rPr>
      <w:sz w:val="18"/>
    </w:rPr>
  </w:style>
  <w:style w:type="character" w:customStyle="1" w:styleId="127">
    <w:name w:val="s10pv000000"/>
    <w:qFormat/>
    <w:uiPriority w:val="0"/>
  </w:style>
  <w:style w:type="character" w:customStyle="1" w:styleId="128">
    <w:name w:val="普通文字 Char Char1"/>
    <w:qFormat/>
    <w:uiPriority w:val="0"/>
    <w:rPr>
      <w:rFonts w:ascii="宋体" w:hAnsi="Courier New" w:cs="Courier New"/>
      <w:szCs w:val="21"/>
    </w:rPr>
  </w:style>
  <w:style w:type="character" w:customStyle="1" w:styleId="129">
    <w:name w:val="Char Char11"/>
    <w:qFormat/>
    <w:uiPriority w:val="0"/>
    <w:rPr>
      <w:szCs w:val="24"/>
    </w:rPr>
  </w:style>
  <w:style w:type="paragraph" w:customStyle="1" w:styleId="130">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1">
    <w:name w:val="基准标题"/>
    <w:basedOn w:val="19"/>
    <w:next w:val="19"/>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2">
    <w:name w:val="正文文本 Char"/>
    <w:basedOn w:val="45"/>
    <w:link w:val="19"/>
    <w:qFormat/>
    <w:uiPriority w:val="0"/>
    <w:rPr>
      <w:rFonts w:ascii="Calibri" w:hAnsi="Calibri" w:eastAsia="宋体" w:cs="Times New Roman"/>
      <w:szCs w:val="24"/>
    </w:rPr>
  </w:style>
  <w:style w:type="paragraph" w:customStyle="1" w:styleId="133">
    <w:name w:val="表格"/>
    <w:basedOn w:val="1"/>
    <w:qFormat/>
    <w:uiPriority w:val="0"/>
    <w:pPr>
      <w:spacing w:line="420" w:lineRule="exact"/>
      <w:ind w:left="84" w:leftChars="40"/>
      <w:jc w:val="center"/>
    </w:pPr>
    <w:rPr>
      <w:rFonts w:ascii="宋体" w:hAnsi="宋体"/>
      <w:bCs/>
      <w:spacing w:val="-12"/>
    </w:rPr>
  </w:style>
  <w:style w:type="paragraph" w:customStyle="1" w:styleId="134">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5">
    <w:name w:val="样式4"/>
    <w:basedOn w:val="1"/>
    <w:qFormat/>
    <w:uiPriority w:val="0"/>
    <w:pPr>
      <w:tabs>
        <w:tab w:val="left" w:pos="2328"/>
      </w:tabs>
      <w:ind w:left="2328" w:hanging="708"/>
    </w:pPr>
  </w:style>
  <w:style w:type="paragraph" w:customStyle="1" w:styleId="1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7">
    <w:name w:val="3 Char"/>
    <w:basedOn w:val="1"/>
    <w:qFormat/>
    <w:uiPriority w:val="0"/>
    <w:pPr>
      <w:widowControl/>
      <w:spacing w:line="400" w:lineRule="exact"/>
      <w:jc w:val="center"/>
    </w:pPr>
    <w:rPr>
      <w:rFonts w:ascii="Verdana" w:hAnsi="Verdana"/>
      <w:kern w:val="0"/>
      <w:szCs w:val="20"/>
      <w:lang w:eastAsia="en-US"/>
    </w:rPr>
  </w:style>
  <w:style w:type="paragraph" w:customStyle="1" w:styleId="138">
    <w:name w:val="样式 标题 2 + 宋体 五号 非加粗 黑色"/>
    <w:basedOn w:val="5"/>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9">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0">
    <w:name w:val="Char Char10"/>
    <w:qFormat/>
    <w:uiPriority w:val="0"/>
    <w:rPr>
      <w:rFonts w:ascii="Times New Roman" w:hAnsi="Times New Roman"/>
      <w:kern w:val="2"/>
      <w:sz w:val="24"/>
      <w:szCs w:val="24"/>
    </w:rPr>
  </w:style>
  <w:style w:type="paragraph" w:customStyle="1" w:styleId="141">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3">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4">
    <w:name w:val="正文文本 3 Char"/>
    <w:basedOn w:val="45"/>
    <w:link w:val="18"/>
    <w:qFormat/>
    <w:uiPriority w:val="0"/>
    <w:rPr>
      <w:rFonts w:ascii="Calibri" w:hAnsi="Calibri" w:eastAsia="宋体" w:cs="Times New Roman"/>
      <w:sz w:val="16"/>
      <w:szCs w:val="16"/>
    </w:rPr>
  </w:style>
  <w:style w:type="paragraph" w:customStyle="1" w:styleId="14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6">
    <w:name w:val="默认段落字体 Para Char Char Char Char"/>
    <w:basedOn w:val="1"/>
    <w:qFormat/>
    <w:uiPriority w:val="0"/>
    <w:rPr>
      <w:szCs w:val="20"/>
    </w:rPr>
  </w:style>
  <w:style w:type="paragraph" w:customStyle="1" w:styleId="147">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8">
    <w:name w:val="Char Char6"/>
    <w:qFormat/>
    <w:uiPriority w:val="0"/>
    <w:rPr>
      <w:rFonts w:ascii="Times New Roman" w:hAnsi="Times New Roman"/>
      <w:kern w:val="2"/>
      <w:sz w:val="21"/>
      <w:shd w:val="clear" w:color="auto" w:fill="000080"/>
    </w:rPr>
  </w:style>
  <w:style w:type="paragraph" w:customStyle="1" w:styleId="149">
    <w:name w:val="Char Char Char Char Char Char Char"/>
    <w:basedOn w:val="1"/>
    <w:qFormat/>
    <w:uiPriority w:val="0"/>
    <w:rPr>
      <w:rFonts w:ascii="Tahoma" w:hAnsi="Tahoma" w:cs="Tahoma"/>
      <w:sz w:val="30"/>
      <w:szCs w:val="30"/>
    </w:rPr>
  </w:style>
  <w:style w:type="paragraph" w:customStyle="1" w:styleId="150">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1">
    <w:name w:val="Char Char4"/>
    <w:qFormat/>
    <w:uiPriority w:val="0"/>
    <w:rPr>
      <w:rFonts w:ascii="Times New Roman" w:hAnsi="Times New Roman"/>
      <w:kern w:val="2"/>
      <w:sz w:val="24"/>
      <w:szCs w:val="24"/>
    </w:rPr>
  </w:style>
  <w:style w:type="character" w:customStyle="1" w:styleId="152">
    <w:name w:val="Char Char3"/>
    <w:qFormat/>
    <w:uiPriority w:val="0"/>
    <w:rPr>
      <w:rFonts w:ascii="宋体" w:hAnsi="Times New Roman"/>
      <w:sz w:val="21"/>
    </w:rPr>
  </w:style>
  <w:style w:type="character" w:customStyle="1" w:styleId="153">
    <w:name w:val="HTML 预设格式 Char"/>
    <w:basedOn w:val="45"/>
    <w:link w:val="40"/>
    <w:qFormat/>
    <w:uiPriority w:val="0"/>
    <w:rPr>
      <w:rFonts w:ascii="黑体" w:hAnsi="Courier New" w:eastAsia="黑体" w:cs="Courier New"/>
      <w:kern w:val="0"/>
      <w:sz w:val="20"/>
      <w:szCs w:val="20"/>
    </w:rPr>
  </w:style>
  <w:style w:type="character" w:customStyle="1" w:styleId="154">
    <w:name w:val="Char Char"/>
    <w:qFormat/>
    <w:uiPriority w:val="0"/>
    <w:rPr>
      <w:rFonts w:ascii="Times New Roman" w:hAnsi="Times New Roman"/>
      <w:kern w:val="2"/>
      <w:sz w:val="16"/>
      <w:szCs w:val="16"/>
    </w:rPr>
  </w:style>
  <w:style w:type="paragraph" w:customStyle="1" w:styleId="155">
    <w:name w:val="Char1"/>
    <w:basedOn w:val="1"/>
    <w:qFormat/>
    <w:uiPriority w:val="0"/>
    <w:pPr>
      <w:widowControl/>
      <w:spacing w:after="160" w:line="240" w:lineRule="exact"/>
      <w:jc w:val="left"/>
    </w:pPr>
    <w:rPr>
      <w:sz w:val="24"/>
    </w:rPr>
  </w:style>
  <w:style w:type="paragraph" w:customStyle="1" w:styleId="156">
    <w:name w:val="默认段落字体 Para Char"/>
    <w:basedOn w:val="1"/>
    <w:qFormat/>
    <w:uiPriority w:val="0"/>
  </w:style>
  <w:style w:type="paragraph" w:customStyle="1" w:styleId="157">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1">
    <w:name w:val="Char Char2 Char"/>
    <w:basedOn w:val="1"/>
    <w:qFormat/>
    <w:uiPriority w:val="0"/>
    <w:rPr>
      <w:rFonts w:ascii="宋体" w:hAnsi="宋体"/>
      <w:b/>
      <w:sz w:val="28"/>
      <w:szCs w:val="28"/>
    </w:rPr>
  </w:style>
  <w:style w:type="character" w:customStyle="1" w:styleId="162">
    <w:name w:val="Char Char7"/>
    <w:qFormat/>
    <w:uiPriority w:val="0"/>
    <w:rPr>
      <w:rFonts w:ascii="Times New Roman" w:hAnsi="Times New Roman"/>
      <w:kern w:val="2"/>
      <w:sz w:val="21"/>
      <w:szCs w:val="21"/>
    </w:rPr>
  </w:style>
  <w:style w:type="paragraph" w:customStyle="1" w:styleId="163">
    <w:name w:val="Char2"/>
    <w:basedOn w:val="1"/>
    <w:qFormat/>
    <w:uiPriority w:val="0"/>
    <w:pPr>
      <w:widowControl/>
      <w:spacing w:after="160" w:line="240" w:lineRule="exact"/>
      <w:jc w:val="left"/>
    </w:pPr>
    <w:rPr>
      <w:szCs w:val="20"/>
    </w:rPr>
  </w:style>
  <w:style w:type="paragraph" w:customStyle="1" w:styleId="164">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5">
    <w:name w:val="明显参考1"/>
    <w:qFormat/>
    <w:uiPriority w:val="0"/>
    <w:rPr>
      <w:b/>
      <w:bCs/>
      <w:smallCaps/>
      <w:color w:val="C0504D"/>
      <w:spacing w:val="5"/>
      <w:u w:val="single"/>
    </w:rPr>
  </w:style>
  <w:style w:type="character" w:customStyle="1" w:styleId="166">
    <w:name w:val="Comment Text Char"/>
    <w:basedOn w:val="45"/>
    <w:qFormat/>
    <w:locked/>
    <w:uiPriority w:val="0"/>
    <w:rPr>
      <w:rFonts w:ascii="Times New Roman" w:hAnsi="Times New Roman" w:cs="Times New Roman"/>
      <w:kern w:val="2"/>
      <w:sz w:val="24"/>
      <w:szCs w:val="24"/>
    </w:rPr>
  </w:style>
  <w:style w:type="paragraph" w:customStyle="1" w:styleId="167">
    <w:name w:val="列出段落2"/>
    <w:basedOn w:val="1"/>
    <w:qFormat/>
    <w:uiPriority w:val="0"/>
    <w:pPr>
      <w:ind w:firstLine="420" w:firstLineChars="200"/>
    </w:pPr>
    <w:rPr>
      <w:rFonts w:ascii="Calibri" w:hAnsi="Calibri"/>
      <w:szCs w:val="22"/>
    </w:rPr>
  </w:style>
  <w:style w:type="paragraph" w:customStyle="1" w:styleId="16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69">
    <w:name w:val="样式5"/>
    <w:basedOn w:val="3"/>
    <w:next w:val="3"/>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15" textRotate="1"/>
    <customShpInfo spid="_x0000_s4116" textRotate="1"/>
    <customShpInfo spid="_x0000_s4117" textRotate="1"/>
    <customShpInfo spid="_x0000_s4118" textRotate="1"/>
    <customShpInfo spid="_x0000_s4119" textRotate="1"/>
    <customShpInfo spid="_x0000_s4120" textRotate="1"/>
    <customShpInfo spid="_x0000_s4121" textRotate="1"/>
    <customShpInfo spid="_x0000_s4122" textRotate="1"/>
    <customShpInfo spid="_x0000_s412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1620</Words>
  <Characters>9239</Characters>
  <Lines>76</Lines>
  <Paragraphs>21</Paragraphs>
  <TotalTime>6</TotalTime>
  <ScaleCrop>false</ScaleCrop>
  <LinksUpToDate>false</LinksUpToDate>
  <CharactersWithSpaces>10838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oaadmin</cp:lastModifiedBy>
  <cp:lastPrinted>2021-07-09T06:47:00Z</cp:lastPrinted>
  <dcterms:modified xsi:type="dcterms:W3CDTF">2021-07-19T07:11:09Z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DFAD4B6BF6DF472D81BE80AEA9B88426</vt:lpwstr>
  </property>
</Properties>
</file>