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rFonts w:hint="eastAsia"/>
          <w:color w:val="000000"/>
          <w:sz w:val="23"/>
          <w:szCs w:val="23"/>
        </w:rPr>
        <w:t xml:space="preserve"> </w:t>
      </w:r>
    </w:p>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7"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spacing w:line="1000" w:lineRule="exact"/>
        <w:jc w:val="center"/>
        <w:rPr>
          <w:rFonts w:ascii="黑体" w:eastAsia="黑体"/>
          <w:b/>
          <w:color w:val="auto"/>
          <w:sz w:val="52"/>
          <w:szCs w:val="52"/>
        </w:rPr>
      </w:pPr>
      <w:r>
        <w:rPr>
          <w:rFonts w:hint="eastAsia" w:ascii="黑体" w:eastAsia="黑体"/>
          <w:b/>
          <w:color w:val="auto"/>
          <w:sz w:val="52"/>
          <w:szCs w:val="52"/>
          <w:lang w:val="en-US" w:eastAsia="zh-CN"/>
        </w:rPr>
        <w:t>广州校区2021-2024年北校园图书馆弱电系统维护保养服务</w:t>
      </w:r>
      <w:r>
        <w:rPr>
          <w:rFonts w:hint="eastAsia" w:ascii="黑体" w:eastAsia="黑体"/>
          <w:b/>
          <w:color w:val="auto"/>
          <w:sz w:val="52"/>
          <w:szCs w:val="52"/>
        </w:rPr>
        <w:t>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6"/>
        <w:spacing w:line="360" w:lineRule="auto"/>
        <w:ind w:left="0" w:leftChars="0"/>
        <w:jc w:val="center"/>
        <w:rPr>
          <w:rFonts w:ascii="宋体" w:hAnsi="宋体"/>
          <w:color w:val="000000"/>
          <w:sz w:val="32"/>
          <w:szCs w:val="32"/>
        </w:rPr>
      </w:pPr>
      <w:r>
        <w:rPr>
          <w:rFonts w:hint="eastAsia" w:ascii="宋体" w:hAnsi="宋体"/>
          <w:color w:val="000000"/>
          <w:sz w:val="32"/>
          <w:szCs w:val="32"/>
        </w:rPr>
        <w:t>后勤处 编制</w:t>
      </w:r>
    </w:p>
    <w:p>
      <w:pPr>
        <w:adjustRightInd w:val="0"/>
        <w:snapToGrid w:val="0"/>
        <w:spacing w:line="500" w:lineRule="exact"/>
        <w:jc w:val="center"/>
        <w:rPr>
          <w:sz w:val="23"/>
          <w:szCs w:val="23"/>
        </w:rPr>
      </w:pPr>
      <w:r>
        <w:rPr>
          <w:rFonts w:hint="eastAsia" w:ascii="宋体" w:hAnsi="宋体"/>
          <w:color w:val="auto"/>
          <w:sz w:val="32"/>
          <w:szCs w:val="32"/>
        </w:rPr>
        <w:t>202</w:t>
      </w:r>
      <w:r>
        <w:rPr>
          <w:rFonts w:hint="eastAsia" w:ascii="宋体" w:hAnsi="宋体"/>
          <w:color w:val="auto"/>
          <w:sz w:val="32"/>
          <w:szCs w:val="32"/>
          <w:lang w:val="en-US" w:eastAsia="zh-CN"/>
        </w:rPr>
        <w:t>1</w:t>
      </w:r>
      <w:r>
        <w:rPr>
          <w:rFonts w:ascii="宋体" w:hAnsi="宋体"/>
          <w:color w:val="auto"/>
          <w:sz w:val="32"/>
          <w:szCs w:val="32"/>
        </w:rPr>
        <w:t>年</w:t>
      </w:r>
      <w:r>
        <w:rPr>
          <w:rFonts w:hint="eastAsia" w:ascii="宋体" w:hAnsi="宋体"/>
          <w:color w:val="auto"/>
          <w:sz w:val="32"/>
          <w:szCs w:val="32"/>
          <w:lang w:val="en-US" w:eastAsia="zh-CN"/>
        </w:rPr>
        <w:t>7</w:t>
      </w:r>
      <w:r>
        <w:rPr>
          <w:rFonts w:ascii="宋体" w:hAnsi="宋体"/>
          <w:color w:val="auto"/>
          <w:sz w:val="32"/>
          <w:szCs w:val="32"/>
        </w:rPr>
        <w:t>月</w:t>
      </w:r>
      <w:r>
        <w:rPr>
          <w:rFonts w:hint="eastAsia" w:ascii="宋体" w:hAnsi="宋体"/>
          <w:color w:val="auto"/>
          <w:sz w:val="32"/>
          <w:szCs w:val="32"/>
          <w:lang w:val="en-US" w:eastAsia="zh-CN"/>
        </w:rPr>
        <w:t>19</w:t>
      </w:r>
      <w:r>
        <w:rPr>
          <w:rFonts w:hint="eastAsia" w:ascii="宋体" w:hAnsi="宋体"/>
          <w:color w:val="auto"/>
          <w:sz w:val="32"/>
          <w:szCs w:val="32"/>
        </w:rPr>
        <w:t>日</w:t>
      </w:r>
      <w:r>
        <w:rPr>
          <w:rFonts w:hint="eastAsia" w:ascii="宋体" w:hAnsi="宋体"/>
          <w:color w:val="000000"/>
          <w:sz w:val="32"/>
          <w:szCs w:val="32"/>
        </w:rPr>
        <w:t xml:space="preserve"> 发布</w:t>
      </w:r>
      <w:r>
        <w:rPr>
          <w:rFonts w:ascii="宋体" w:hAnsi="宋体"/>
          <w:color w:val="000000"/>
          <w:sz w:val="23"/>
          <w:szCs w:val="23"/>
        </w:rPr>
        <w:br w:type="column"/>
      </w:r>
      <w:r>
        <w:rPr>
          <w:rFonts w:hint="eastAsia"/>
          <w:b/>
          <w:sz w:val="32"/>
          <w:szCs w:val="23"/>
        </w:rPr>
        <w:t>温馨提示</w:t>
      </w:r>
    </w:p>
    <w:p>
      <w:pPr>
        <w:pStyle w:val="93"/>
        <w:adjustRightInd w:val="0"/>
        <w:snapToGrid w:val="0"/>
        <w:spacing w:line="500" w:lineRule="exact"/>
        <w:ind w:firstLineChars="0"/>
        <w:rPr>
          <w:rFonts w:ascii="宋体" w:hAnsi="宋体" w:eastAsia="宋体" w:cs="Times New Roman"/>
          <w:sz w:val="24"/>
          <w:szCs w:val="23"/>
        </w:rPr>
      </w:pPr>
      <w:r>
        <w:rPr>
          <w:rFonts w:hint="eastAsia" w:ascii="宋体" w:hAnsi="宋体" w:eastAsia="宋体" w:cs="Times New Roman"/>
          <w:sz w:val="24"/>
          <w:szCs w:val="23"/>
        </w:rPr>
        <w:t>为避免各投标人因投标文件编制失误导致投标无效，提醒以下事项，请特别注意:</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eastAsia="宋体"/>
          <w:b/>
          <w:bCs/>
          <w:sz w:val="24"/>
          <w:szCs w:val="23"/>
          <w:u w:val="single"/>
          <w:lang w:val="en-US" w:eastAsia="zh-CN"/>
        </w:rPr>
        <w:t>8</w:t>
      </w:r>
      <w:r>
        <w:rPr>
          <w:rFonts w:hint="eastAsia" w:ascii="宋体" w:hAnsi="宋体" w:eastAsia="宋体" w:cs="Times New Roman"/>
          <w:sz w:val="24"/>
          <w:szCs w:val="23"/>
        </w:rPr>
        <w:t>页“3.1.3合格投标人”中“3.1.3.1”条款要求提交的《营业执照》副本</w:t>
      </w:r>
      <w:r>
        <w:rPr>
          <w:rFonts w:ascii="宋体" w:hAnsi="宋体" w:eastAsia="宋体" w:cs="Times New Roman"/>
          <w:sz w:val="24"/>
          <w:szCs w:val="23"/>
        </w:rPr>
        <w:t>或事业单位法人证书或法人登记证</w:t>
      </w:r>
      <w:r>
        <w:rPr>
          <w:rFonts w:hint="eastAsia" w:ascii="宋体" w:hAnsi="宋体" w:eastAsia="宋体" w:cs="Times New Roman"/>
          <w:sz w:val="24"/>
          <w:szCs w:val="23"/>
        </w:rPr>
        <w:t>书复印件，须加盖投标人公章。</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1</w:t>
      </w:r>
      <w:r>
        <w:rPr>
          <w:rFonts w:hint="eastAsia" w:ascii="宋体" w:hAnsi="宋体"/>
          <w:b/>
          <w:bCs/>
          <w:sz w:val="24"/>
          <w:szCs w:val="23"/>
          <w:u w:val="single"/>
          <w:lang w:val="en-US" w:eastAsia="zh-CN"/>
        </w:rPr>
        <w:t>0</w:t>
      </w:r>
      <w:r>
        <w:rPr>
          <w:rFonts w:hint="eastAsia" w:ascii="宋体" w:hAnsi="宋体" w:eastAsia="宋体" w:cs="Times New Roman"/>
          <w:sz w:val="24"/>
          <w:szCs w:val="23"/>
        </w:rPr>
        <w:t>页“3.3.</w:t>
      </w:r>
      <w:r>
        <w:rPr>
          <w:rFonts w:hint="eastAsia" w:ascii="宋体" w:hAnsi="宋体" w:eastAsia="宋体" w:cs="Times New Roman"/>
          <w:sz w:val="24"/>
          <w:szCs w:val="23"/>
          <w:lang w:val="en-US" w:eastAsia="zh-CN"/>
        </w:rPr>
        <w:t>4</w:t>
      </w:r>
      <w:r>
        <w:rPr>
          <w:rFonts w:hint="eastAsia" w:ascii="宋体" w:hAnsi="宋体" w:eastAsia="宋体" w:cs="Times New Roman"/>
          <w:sz w:val="24"/>
          <w:szCs w:val="23"/>
        </w:rPr>
        <w:t>.1”条款及“3.3.5.2”条款要求投标人所提交的投标文件须</w:t>
      </w:r>
      <w:r>
        <w:rPr>
          <w:rFonts w:hint="eastAsia" w:ascii="宋体" w:hAnsi="宋体" w:eastAsia="宋体" w:cs="Times New Roman"/>
          <w:b/>
          <w:bCs/>
          <w:sz w:val="24"/>
          <w:szCs w:val="23"/>
          <w:u w:val="single"/>
        </w:rPr>
        <w:t>装订成册</w:t>
      </w:r>
      <w:r>
        <w:rPr>
          <w:rFonts w:hint="eastAsia" w:ascii="宋体" w:hAnsi="宋体" w:eastAsia="宋体" w:cs="Times New Roman"/>
          <w:sz w:val="24"/>
          <w:szCs w:val="23"/>
        </w:rPr>
        <w:t>，须清楚标明</w:t>
      </w:r>
      <w:r>
        <w:rPr>
          <w:rFonts w:hint="eastAsia" w:ascii="宋体" w:hAnsi="宋体" w:eastAsia="宋体" w:cs="Times New Roman"/>
          <w:b/>
          <w:bCs/>
          <w:sz w:val="24"/>
          <w:szCs w:val="23"/>
          <w:u w:val="single"/>
        </w:rPr>
        <w:t>“正本”或“副本”</w:t>
      </w:r>
      <w:r>
        <w:rPr>
          <w:rFonts w:hint="eastAsia" w:ascii="宋体" w:hAnsi="宋体" w:eastAsia="宋体" w:cs="Times New Roman"/>
          <w:b/>
          <w:bCs/>
          <w:sz w:val="24"/>
          <w:szCs w:val="23"/>
        </w:rPr>
        <w:t>，</w:t>
      </w:r>
      <w:r>
        <w:rPr>
          <w:rFonts w:hint="eastAsia" w:ascii="宋体" w:hAnsi="宋体" w:eastAsia="宋体" w:cs="Times New Roman"/>
          <w:sz w:val="24"/>
          <w:szCs w:val="23"/>
        </w:rPr>
        <w:t>须</w:t>
      </w:r>
      <w:r>
        <w:rPr>
          <w:rFonts w:hint="eastAsia" w:ascii="宋体" w:hAnsi="宋体" w:eastAsia="宋体" w:cs="Times New Roman"/>
          <w:b/>
          <w:bCs/>
          <w:sz w:val="24"/>
          <w:szCs w:val="23"/>
          <w:u w:val="single"/>
        </w:rPr>
        <w:t>密封完好</w:t>
      </w:r>
      <w:r>
        <w:rPr>
          <w:rFonts w:hint="eastAsia" w:ascii="宋体" w:hAnsi="宋体" w:eastAsia="宋体" w:cs="Times New Roman"/>
          <w:sz w:val="24"/>
          <w:szCs w:val="23"/>
        </w:rPr>
        <w:t>。</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2</w:t>
      </w:r>
      <w:r>
        <w:rPr>
          <w:rFonts w:hint="eastAsia" w:ascii="宋体" w:hAnsi="宋体"/>
          <w:b/>
          <w:bCs/>
          <w:sz w:val="24"/>
          <w:szCs w:val="23"/>
          <w:u w:val="single"/>
          <w:lang w:val="en-US" w:eastAsia="zh-CN"/>
        </w:rPr>
        <w:t>0</w:t>
      </w:r>
      <w:r>
        <w:rPr>
          <w:rFonts w:hint="eastAsia" w:ascii="宋体" w:hAnsi="宋体" w:eastAsia="宋体" w:cs="Times New Roman"/>
          <w:sz w:val="24"/>
          <w:szCs w:val="23"/>
        </w:rPr>
        <w:t>页“6.1投标函”为</w:t>
      </w:r>
      <w:r>
        <w:rPr>
          <w:rFonts w:hint="eastAsia" w:ascii="宋体" w:hAnsi="宋体" w:eastAsia="宋体" w:cs="Times New Roman"/>
          <w:b/>
          <w:bCs/>
          <w:sz w:val="24"/>
          <w:szCs w:val="23"/>
          <w:u w:val="single"/>
        </w:rPr>
        <w:t>必要文件（不得改变格式）</w:t>
      </w:r>
      <w:r>
        <w:rPr>
          <w:rFonts w:hint="eastAsia" w:ascii="宋体" w:hAnsi="宋体" w:eastAsia="宋体" w:cs="Times New Roman"/>
          <w:sz w:val="24"/>
          <w:szCs w:val="23"/>
        </w:rPr>
        <w:t>，必须加盖投标人公章，必须有法定代表人或代理人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2</w:t>
      </w:r>
      <w:r>
        <w:rPr>
          <w:rFonts w:hint="eastAsia" w:ascii="宋体" w:hAnsi="宋体"/>
          <w:b/>
          <w:bCs/>
          <w:sz w:val="24"/>
          <w:szCs w:val="23"/>
          <w:u w:val="single"/>
          <w:lang w:val="en-US" w:eastAsia="zh-CN"/>
        </w:rPr>
        <w:t>2</w:t>
      </w:r>
      <w:r>
        <w:rPr>
          <w:rFonts w:hint="eastAsia" w:ascii="宋体" w:hAnsi="宋体" w:eastAsia="宋体" w:cs="Times New Roman"/>
          <w:sz w:val="24"/>
          <w:szCs w:val="23"/>
        </w:rPr>
        <w:t>页“6.2价格文件”为</w:t>
      </w:r>
      <w:r>
        <w:rPr>
          <w:rFonts w:hint="eastAsia" w:ascii="宋体" w:hAnsi="宋体" w:eastAsia="宋体" w:cs="Times New Roman"/>
          <w:b/>
          <w:bCs/>
          <w:sz w:val="24"/>
          <w:szCs w:val="23"/>
          <w:u w:val="single"/>
        </w:rPr>
        <w:t>必要文件（不得改变格式）</w:t>
      </w:r>
      <w:r>
        <w:rPr>
          <w:rFonts w:hint="eastAsia" w:ascii="宋体" w:hAnsi="宋体" w:eastAsia="宋体" w:cs="Times New Roman"/>
          <w:b/>
          <w:bCs/>
          <w:sz w:val="24"/>
          <w:szCs w:val="23"/>
        </w:rPr>
        <w:t>，</w:t>
      </w:r>
      <w:r>
        <w:rPr>
          <w:rFonts w:hint="eastAsia" w:ascii="宋体" w:hAnsi="宋体" w:eastAsia="宋体" w:cs="Times New Roman"/>
          <w:sz w:val="24"/>
          <w:szCs w:val="23"/>
        </w:rPr>
        <w:t>必须按要求填写小写金额和大写金额，必须加盖投标人公章，必须有法定代表人或代理人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3</w:t>
      </w:r>
      <w:r>
        <w:rPr>
          <w:rFonts w:hint="eastAsia" w:ascii="宋体" w:hAnsi="宋体"/>
          <w:b/>
          <w:bCs/>
          <w:sz w:val="24"/>
          <w:szCs w:val="23"/>
          <w:u w:val="single"/>
          <w:lang w:val="en-US" w:eastAsia="zh-CN"/>
        </w:rPr>
        <w:t>0</w:t>
      </w:r>
      <w:r>
        <w:rPr>
          <w:rFonts w:hint="eastAsia" w:ascii="宋体" w:hAnsi="宋体" w:eastAsia="宋体" w:cs="Times New Roman"/>
          <w:sz w:val="24"/>
          <w:szCs w:val="23"/>
        </w:rPr>
        <w:t>页“6.</w:t>
      </w:r>
      <w:r>
        <w:rPr>
          <w:rFonts w:hint="eastAsia" w:ascii="宋体" w:hAnsi="宋体" w:eastAsia="宋体" w:cs="Times New Roman"/>
          <w:sz w:val="24"/>
          <w:szCs w:val="23"/>
          <w:lang w:val="en-US" w:eastAsia="zh-CN"/>
        </w:rPr>
        <w:t>7</w:t>
      </w:r>
      <w:r>
        <w:rPr>
          <w:rFonts w:hint="eastAsia" w:ascii="宋体" w:hAnsi="宋体" w:eastAsia="宋体" w:cs="Times New Roman"/>
          <w:sz w:val="24"/>
          <w:szCs w:val="23"/>
        </w:rPr>
        <w:t>法定代表人证明书”为必要文件</w:t>
      </w:r>
      <w:r>
        <w:rPr>
          <w:rFonts w:hint="eastAsia" w:ascii="宋体" w:hAnsi="宋体" w:eastAsia="宋体" w:cs="Times New Roman"/>
          <w:b/>
          <w:bCs/>
          <w:sz w:val="24"/>
          <w:szCs w:val="23"/>
          <w:u w:val="single"/>
        </w:rPr>
        <w:t>（不得改变格式）</w:t>
      </w:r>
      <w:r>
        <w:rPr>
          <w:rFonts w:hint="eastAsia" w:ascii="宋体" w:hAnsi="宋体" w:eastAsia="宋体" w:cs="Times New Roman"/>
          <w:sz w:val="24"/>
          <w:szCs w:val="23"/>
        </w:rPr>
        <w:t>，必须加盖投标人公章，必须有法定代表人</w:t>
      </w:r>
      <w:r>
        <w:rPr>
          <w:rFonts w:hint="eastAsia" w:ascii="宋体" w:hAnsi="宋体" w:eastAsia="宋体" w:cs="Times New Roman"/>
          <w:b/>
          <w:bCs/>
          <w:sz w:val="24"/>
          <w:szCs w:val="23"/>
          <w:u w:val="single"/>
        </w:rPr>
        <w:t>亲笔签名</w:t>
      </w:r>
      <w:r>
        <w:rPr>
          <w:rFonts w:hint="eastAsia" w:ascii="宋体" w:hAnsi="宋体" w:eastAsia="宋体" w:cs="Times New Roman"/>
          <w:sz w:val="24"/>
          <w:szCs w:val="23"/>
        </w:rPr>
        <w:t>，否则，作无效处理。</w:t>
      </w:r>
    </w:p>
    <w:p>
      <w:pPr>
        <w:pStyle w:val="93"/>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b/>
          <w:bCs/>
          <w:sz w:val="24"/>
          <w:szCs w:val="23"/>
          <w:u w:val="single"/>
        </w:rPr>
        <w:t>3</w:t>
      </w:r>
      <w:r>
        <w:rPr>
          <w:rFonts w:hint="eastAsia" w:ascii="宋体" w:hAnsi="宋体"/>
          <w:b/>
          <w:bCs/>
          <w:sz w:val="24"/>
          <w:szCs w:val="23"/>
          <w:u w:val="single"/>
          <w:lang w:val="en-US" w:eastAsia="zh-CN"/>
        </w:rPr>
        <w:t>1</w:t>
      </w:r>
      <w:r>
        <w:rPr>
          <w:rFonts w:hint="eastAsia" w:ascii="宋体" w:hAnsi="宋体" w:eastAsia="宋体" w:cs="Times New Roman"/>
          <w:sz w:val="24"/>
          <w:szCs w:val="23"/>
        </w:rPr>
        <w:t>页“6.</w:t>
      </w:r>
      <w:r>
        <w:rPr>
          <w:rFonts w:hint="eastAsia" w:ascii="宋体" w:hAnsi="宋体" w:eastAsia="宋体" w:cs="Times New Roman"/>
          <w:sz w:val="24"/>
          <w:szCs w:val="23"/>
          <w:lang w:val="en-US" w:eastAsia="zh-CN"/>
        </w:rPr>
        <w:t>8</w:t>
      </w:r>
      <w:r>
        <w:rPr>
          <w:rFonts w:hint="eastAsia" w:ascii="宋体" w:hAnsi="宋体" w:eastAsia="宋体" w:cs="Times New Roman"/>
          <w:sz w:val="24"/>
          <w:szCs w:val="23"/>
        </w:rPr>
        <w:t>授权委托书”为必要文件</w:t>
      </w:r>
      <w:r>
        <w:rPr>
          <w:rFonts w:hint="eastAsia" w:ascii="宋体" w:hAnsi="宋体" w:eastAsia="宋体" w:cs="Times New Roman"/>
          <w:b/>
          <w:bCs/>
          <w:sz w:val="24"/>
          <w:szCs w:val="23"/>
          <w:u w:val="single"/>
        </w:rPr>
        <w:t>（不得改变格式）</w:t>
      </w:r>
      <w:r>
        <w:rPr>
          <w:rFonts w:hint="eastAsia" w:ascii="宋体" w:hAnsi="宋体" w:eastAsia="宋体" w:cs="Times New Roman"/>
          <w:sz w:val="24"/>
          <w:szCs w:val="23"/>
        </w:rPr>
        <w:t>，必须加盖投标人公章，必须有</w:t>
      </w:r>
      <w:r>
        <w:rPr>
          <w:rFonts w:hint="eastAsia" w:ascii="宋体" w:hAnsi="宋体" w:eastAsia="宋体" w:cs="Times New Roman"/>
          <w:b/>
          <w:bCs/>
          <w:sz w:val="24"/>
          <w:szCs w:val="23"/>
          <w:u w:val="single"/>
        </w:rPr>
        <w:t>法定代表人亲笔签名</w:t>
      </w:r>
      <w:r>
        <w:rPr>
          <w:rFonts w:hint="eastAsia" w:ascii="宋体" w:hAnsi="宋体" w:eastAsia="宋体" w:cs="Times New Roman"/>
          <w:sz w:val="24"/>
          <w:szCs w:val="23"/>
        </w:rPr>
        <w:t>，必须有</w:t>
      </w:r>
      <w:r>
        <w:rPr>
          <w:rFonts w:hint="eastAsia" w:ascii="宋体" w:hAnsi="宋体" w:eastAsia="宋体" w:cs="Times New Roman"/>
          <w:b/>
          <w:bCs/>
          <w:sz w:val="24"/>
          <w:szCs w:val="23"/>
          <w:u w:val="single"/>
        </w:rPr>
        <w:t>代理人亲笔签名</w:t>
      </w:r>
      <w:r>
        <w:rPr>
          <w:rFonts w:hint="eastAsia" w:ascii="宋体" w:hAnsi="宋体" w:eastAsia="宋体" w:cs="Times New Roman"/>
          <w:sz w:val="24"/>
          <w:szCs w:val="23"/>
        </w:rPr>
        <w:t>,否则，作无效处理。</w:t>
      </w:r>
    </w:p>
    <w:p>
      <w:pPr>
        <w:pStyle w:val="93"/>
        <w:adjustRightInd w:val="0"/>
        <w:snapToGrid w:val="0"/>
        <w:spacing w:line="400" w:lineRule="exact"/>
        <w:ind w:firstLine="0" w:firstLineChars="0"/>
        <w:jc w:val="left"/>
        <w:rPr>
          <w:rFonts w:ascii="宋体" w:hAnsi="宋体" w:eastAsia="宋体" w:cs="Times New Roman"/>
          <w:sz w:val="24"/>
          <w:szCs w:val="23"/>
        </w:rPr>
      </w:pPr>
    </w:p>
    <w:p>
      <w:pPr>
        <w:pStyle w:val="26"/>
        <w:spacing w:line="360" w:lineRule="auto"/>
        <w:ind w:left="0" w:leftChars="0"/>
        <w:jc w:val="left"/>
        <w:rPr>
          <w:rFonts w:ascii="宋体" w:hAnsi="宋体"/>
          <w:sz w:val="24"/>
          <w:szCs w:val="23"/>
        </w:rPr>
      </w:pPr>
      <w:r>
        <w:rPr>
          <w:rFonts w:hint="eastAsia" w:ascii="宋体" w:hAnsi="宋体"/>
          <w:sz w:val="24"/>
          <w:szCs w:val="23"/>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rPr>
          <w:color w:val="000000"/>
          <w:sz w:val="23"/>
          <w:szCs w:val="23"/>
        </w:rPr>
      </w:pPr>
    </w:p>
    <w:p>
      <w:pPr>
        <w:spacing w:line="360" w:lineRule="auto"/>
        <w:jc w:val="center"/>
        <w:rPr>
          <w:b/>
          <w:bCs w:val="0"/>
          <w:color w:val="auto"/>
          <w:sz w:val="32"/>
          <w:szCs w:val="32"/>
        </w:rPr>
      </w:pPr>
      <w:r>
        <w:rPr>
          <w:rFonts w:hint="eastAsia"/>
          <w:b/>
          <w:bCs w:val="0"/>
          <w:color w:val="auto"/>
          <w:sz w:val="32"/>
          <w:szCs w:val="32"/>
        </w:rPr>
        <w:t>目录</w:t>
      </w:r>
    </w:p>
    <w:p>
      <w:pPr>
        <w:pStyle w:val="30"/>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rPr>
          <w:rFonts w:ascii="宋体" w:hAnsi="宋体"/>
          <w:color w:val="000000"/>
        </w:rPr>
        <w:fldChar w:fldCharType="begin"/>
      </w:r>
      <w:r>
        <w:rPr>
          <w:rFonts w:ascii="宋体" w:hAnsi="宋体"/>
        </w:rPr>
        <w:instrText xml:space="preserve"> HYPERLINK \l _Toc23064 </w:instrText>
      </w:r>
      <w:r>
        <w:rPr>
          <w:rFonts w:ascii="宋体" w:hAnsi="宋体"/>
        </w:rPr>
        <w:fldChar w:fldCharType="separate"/>
      </w:r>
      <w:r>
        <w:rPr>
          <w:rFonts w:hint="eastAsia"/>
        </w:rPr>
        <w:t>第一部分投标邀请函</w:t>
      </w:r>
      <w:r>
        <w:tab/>
      </w:r>
      <w:r>
        <w:fldChar w:fldCharType="begin"/>
      </w:r>
      <w:r>
        <w:instrText xml:space="preserve"> PAGEREF _Toc23064 \h </w:instrText>
      </w:r>
      <w:r>
        <w:fldChar w:fldCharType="separate"/>
      </w:r>
      <w:r>
        <w:t>4</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_Toc21471 </w:instrText>
      </w:r>
      <w:r>
        <w:rPr>
          <w:rFonts w:ascii="宋体" w:hAnsi="宋体"/>
        </w:rPr>
        <w:fldChar w:fldCharType="separate"/>
      </w:r>
      <w:r>
        <w:rPr>
          <w:rFonts w:hint="eastAsia"/>
        </w:rPr>
        <w:t>第二部分  项目内容及需求</w:t>
      </w:r>
      <w:r>
        <w:tab/>
      </w:r>
      <w:r>
        <w:fldChar w:fldCharType="begin"/>
      </w:r>
      <w:r>
        <w:instrText xml:space="preserve"> PAGEREF _Toc21471 \h </w:instrText>
      </w:r>
      <w:r>
        <w:fldChar w:fldCharType="separate"/>
      </w:r>
      <w:r>
        <w:t>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_Toc26680 </w:instrText>
      </w:r>
      <w:r>
        <w:rPr>
          <w:rFonts w:ascii="宋体" w:hAnsi="宋体"/>
        </w:rPr>
        <w:fldChar w:fldCharType="separate"/>
      </w:r>
      <w:r>
        <w:rPr>
          <w:rFonts w:hint="eastAsia"/>
        </w:rPr>
        <w:t>2.1 项目概况</w:t>
      </w:r>
      <w:r>
        <w:tab/>
      </w:r>
      <w:r>
        <w:fldChar w:fldCharType="begin"/>
      </w:r>
      <w:r>
        <w:instrText xml:space="preserve"> PAGEREF _Toc26680 \h </w:instrText>
      </w:r>
      <w:r>
        <w:fldChar w:fldCharType="separate"/>
      </w:r>
      <w:r>
        <w:t>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_Toc25426 </w:instrText>
      </w:r>
      <w:r>
        <w:rPr>
          <w:rFonts w:ascii="宋体" w:hAnsi="宋体"/>
        </w:rPr>
        <w:fldChar w:fldCharType="separate"/>
      </w:r>
      <w:r>
        <w:rPr>
          <w:rFonts w:hint="eastAsia"/>
          <w:lang w:val="en-US" w:eastAsia="zh-CN"/>
        </w:rPr>
        <w:t>2.2 商务要求</w:t>
      </w:r>
      <w:r>
        <w:tab/>
      </w:r>
      <w:r>
        <w:fldChar w:fldCharType="begin"/>
      </w:r>
      <w:r>
        <w:instrText xml:space="preserve"> PAGEREF _Toc25426 \h </w:instrText>
      </w:r>
      <w:r>
        <w:fldChar w:fldCharType="separate"/>
      </w:r>
      <w:r>
        <w:t>11</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_Toc20990 </w:instrText>
      </w:r>
      <w:r>
        <w:rPr>
          <w:rFonts w:ascii="宋体" w:hAnsi="宋体"/>
        </w:rPr>
        <w:fldChar w:fldCharType="separate"/>
      </w:r>
      <w:r>
        <w:rPr>
          <w:rFonts w:hint="eastAsia"/>
        </w:rPr>
        <w:t>第三部分  投标人须知</w:t>
      </w:r>
      <w:r>
        <w:tab/>
      </w:r>
      <w:r>
        <w:fldChar w:fldCharType="begin"/>
      </w:r>
      <w:r>
        <w:instrText xml:space="preserve"> PAGEREF _Toc20990 \h </w:instrText>
      </w:r>
      <w:r>
        <w:fldChar w:fldCharType="separate"/>
      </w:r>
      <w:r>
        <w:t>13</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_Toc3261 </w:instrText>
      </w:r>
      <w:r>
        <w:rPr>
          <w:rFonts w:ascii="宋体" w:hAnsi="宋体"/>
        </w:rPr>
        <w:fldChar w:fldCharType="separate"/>
      </w:r>
      <w:r>
        <w:rPr>
          <w:rFonts w:hint="eastAsia"/>
          <w:i w:val="0"/>
        </w:rPr>
        <w:t xml:space="preserve">3.1 </w:t>
      </w:r>
      <w:r>
        <w:rPr>
          <w:rFonts w:hint="eastAsia"/>
        </w:rPr>
        <w:t>说明</w:t>
      </w:r>
      <w:r>
        <w:tab/>
      </w:r>
      <w:r>
        <w:fldChar w:fldCharType="begin"/>
      </w:r>
      <w:r>
        <w:instrText xml:space="preserve"> PAGEREF _Toc3261 \h </w:instrText>
      </w:r>
      <w:r>
        <w:fldChar w:fldCharType="separate"/>
      </w:r>
      <w:r>
        <w:t>13</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_Toc5163 </w:instrText>
      </w:r>
      <w:r>
        <w:rPr>
          <w:rFonts w:ascii="宋体" w:hAnsi="宋体"/>
        </w:rPr>
        <w:fldChar w:fldCharType="separate"/>
      </w:r>
      <w:r>
        <w:rPr>
          <w:rFonts w:hint="eastAsia"/>
          <w:i w:val="0"/>
        </w:rPr>
        <w:t xml:space="preserve">3.2 </w:t>
      </w:r>
      <w:r>
        <w:rPr>
          <w:rFonts w:hint="eastAsia"/>
        </w:rPr>
        <w:t>招标文件</w:t>
      </w:r>
      <w:r>
        <w:tab/>
      </w:r>
      <w:r>
        <w:fldChar w:fldCharType="begin"/>
      </w:r>
      <w:r>
        <w:instrText xml:space="preserve"> PAGEREF _Toc5163 \h </w:instrText>
      </w:r>
      <w:r>
        <w:fldChar w:fldCharType="separate"/>
      </w:r>
      <w:r>
        <w:t>14</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_Toc13076 </w:instrText>
      </w:r>
      <w:r>
        <w:rPr>
          <w:rFonts w:ascii="宋体" w:hAnsi="宋体"/>
        </w:rPr>
        <w:fldChar w:fldCharType="separate"/>
      </w:r>
      <w:r>
        <w:rPr>
          <w:rFonts w:hint="eastAsia"/>
          <w:i w:val="0"/>
        </w:rPr>
        <w:t xml:space="preserve">3.3 </w:t>
      </w:r>
      <w:r>
        <w:rPr>
          <w:rFonts w:hint="eastAsia"/>
        </w:rPr>
        <w:t>投标文件</w:t>
      </w:r>
      <w:r>
        <w:tab/>
      </w:r>
      <w:r>
        <w:fldChar w:fldCharType="begin"/>
      </w:r>
      <w:r>
        <w:instrText xml:space="preserve"> PAGEREF _Toc13076 \h </w:instrText>
      </w:r>
      <w:r>
        <w:fldChar w:fldCharType="separate"/>
      </w:r>
      <w:r>
        <w:t>14</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_Toc25131 </w:instrText>
      </w:r>
      <w:r>
        <w:rPr>
          <w:rFonts w:ascii="宋体" w:hAnsi="宋体"/>
        </w:rPr>
        <w:fldChar w:fldCharType="separate"/>
      </w:r>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r>
        <w:tab/>
      </w:r>
      <w:r>
        <w:fldChar w:fldCharType="begin"/>
      </w:r>
      <w:r>
        <w:instrText xml:space="preserve"> PAGEREF _Toc25131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_Toc28444 </w:instrText>
      </w:r>
      <w:r>
        <w:rPr>
          <w:rFonts w:ascii="宋体" w:hAnsi="宋体"/>
        </w:rPr>
        <w:fldChar w:fldCharType="separate"/>
      </w:r>
      <w:r>
        <w:rPr>
          <w:rFonts w:hint="eastAsia"/>
          <w:i w:val="0"/>
        </w:rPr>
        <w:t xml:space="preserve">4.1 </w:t>
      </w:r>
      <w:r>
        <w:rPr>
          <w:rFonts w:hint="eastAsia"/>
        </w:rPr>
        <w:t>评标方法</w:t>
      </w:r>
      <w:r>
        <w:tab/>
      </w:r>
      <w:r>
        <w:fldChar w:fldCharType="begin"/>
      </w:r>
      <w:r>
        <w:instrText xml:space="preserve"> PAGEREF _Toc28444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_Toc154 </w:instrText>
      </w:r>
      <w:r>
        <w:rPr>
          <w:rFonts w:ascii="宋体" w:hAnsi="宋体"/>
        </w:rPr>
        <w:fldChar w:fldCharType="separate"/>
      </w:r>
      <w:r>
        <w:rPr>
          <w:rFonts w:hint="eastAsia"/>
          <w:lang w:val="en-US" w:eastAsia="zh-CN"/>
        </w:rPr>
        <w:t>4.2  资格性审查</w:t>
      </w:r>
      <w:r>
        <w:tab/>
      </w:r>
      <w:r>
        <w:fldChar w:fldCharType="begin"/>
      </w:r>
      <w:r>
        <w:instrText xml:space="preserve"> PAGEREF _Toc154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_Toc20060 </w:instrText>
      </w:r>
      <w:r>
        <w:rPr>
          <w:rFonts w:ascii="宋体" w:hAnsi="宋体"/>
        </w:rPr>
        <w:fldChar w:fldCharType="separate"/>
      </w:r>
      <w:r>
        <w:rPr>
          <w:rFonts w:hint="eastAsia"/>
          <w:lang w:val="en-US" w:eastAsia="zh-CN"/>
        </w:rPr>
        <w:t>4.3  权重分配表</w:t>
      </w:r>
      <w:r>
        <w:tab/>
      </w:r>
      <w:r>
        <w:fldChar w:fldCharType="begin"/>
      </w:r>
      <w:r>
        <w:instrText xml:space="preserve"> PAGEREF _Toc20060 \h </w:instrText>
      </w:r>
      <w:r>
        <w:fldChar w:fldCharType="separate"/>
      </w:r>
      <w:r>
        <w:t>16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_Toc7376 </w:instrText>
      </w:r>
      <w:r>
        <w:rPr>
          <w:rFonts w:ascii="宋体" w:hAnsi="宋体"/>
        </w:rPr>
        <w:fldChar w:fldCharType="separate"/>
      </w:r>
      <w:r>
        <w:rPr>
          <w:rFonts w:hint="eastAsia"/>
          <w:lang w:val="en-US" w:eastAsia="zh-CN"/>
        </w:rPr>
        <w:t>4.4  评标标准</w:t>
      </w:r>
      <w:r>
        <w:tab/>
      </w:r>
      <w:r>
        <w:fldChar w:fldCharType="begin"/>
      </w:r>
      <w:r>
        <w:instrText xml:space="preserve"> PAGEREF _Toc7376 \h </w:instrText>
      </w:r>
      <w:r>
        <w:fldChar w:fldCharType="separate"/>
      </w:r>
      <w:r>
        <w:t>16</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_Toc3833 </w:instrText>
      </w:r>
      <w:r>
        <w:rPr>
          <w:rFonts w:ascii="宋体" w:hAnsi="宋体"/>
        </w:rPr>
        <w:fldChar w:fldCharType="separate"/>
      </w:r>
      <w:r>
        <w:rPr>
          <w:rFonts w:hint="eastAsia"/>
        </w:rPr>
        <w:t>第五部分  合同格式及主要条款</w:t>
      </w:r>
      <w:r>
        <w:tab/>
      </w:r>
      <w:r>
        <w:fldChar w:fldCharType="begin"/>
      </w:r>
      <w:r>
        <w:instrText xml:space="preserve"> PAGEREF _Toc3833 \h </w:instrText>
      </w:r>
      <w:r>
        <w:fldChar w:fldCharType="separate"/>
      </w:r>
      <w:r>
        <w:t>23</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_Toc20964 </w:instrText>
      </w:r>
      <w:r>
        <w:rPr>
          <w:rFonts w:ascii="宋体" w:hAnsi="宋体"/>
        </w:rPr>
        <w:fldChar w:fldCharType="separate"/>
      </w:r>
      <w:r>
        <w:rPr>
          <w:rFonts w:hint="eastAsia" w:ascii="Arial" w:hAnsi="Arial"/>
        </w:rPr>
        <w:t>第六部分  投标文件格式</w:t>
      </w:r>
      <w:r>
        <w:tab/>
      </w:r>
      <w:r>
        <w:fldChar w:fldCharType="begin"/>
      </w:r>
      <w:r>
        <w:instrText xml:space="preserve"> PAGEREF _Toc20964 \h </w:instrText>
      </w:r>
      <w:r>
        <w:fldChar w:fldCharType="separate"/>
      </w:r>
      <w:r>
        <w:t>25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_Toc26404 </w:instrText>
      </w:r>
      <w:r>
        <w:rPr>
          <w:rFonts w:ascii="宋体" w:hAnsi="宋体"/>
        </w:rPr>
        <w:fldChar w:fldCharType="separate"/>
      </w:r>
      <w:r>
        <w:rPr>
          <w:rFonts w:hint="eastAsia" w:ascii="宋体" w:hAnsi="宋体" w:eastAsia="宋体"/>
          <w:i w:val="0"/>
        </w:rPr>
        <w:t xml:space="preserve">6.1 </w:t>
      </w:r>
      <w:r>
        <w:rPr>
          <w:rFonts w:hint="eastAsia"/>
        </w:rPr>
        <w:t>投标函</w:t>
      </w:r>
      <w:r>
        <w:tab/>
      </w:r>
      <w:r>
        <w:fldChar w:fldCharType="begin"/>
      </w:r>
      <w:r>
        <w:instrText xml:space="preserve"> PAGEREF _Toc26404 \h </w:instrText>
      </w:r>
      <w:r>
        <w:fldChar w:fldCharType="separate"/>
      </w:r>
      <w:r>
        <w:t>25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_Toc20173 </w:instrText>
      </w:r>
      <w:r>
        <w:rPr>
          <w:rFonts w:ascii="宋体" w:hAnsi="宋体"/>
        </w:rPr>
        <w:fldChar w:fldCharType="separate"/>
      </w:r>
      <w:r>
        <w:rPr>
          <w:rFonts w:hint="eastAsia" w:ascii="宋体" w:hAnsi="宋体" w:eastAsia="宋体"/>
          <w:i w:val="0"/>
        </w:rPr>
        <w:t xml:space="preserve">6.2 </w:t>
      </w:r>
      <w:r>
        <w:rPr>
          <w:rFonts w:hint="eastAsia"/>
        </w:rPr>
        <w:t>价格文件</w:t>
      </w:r>
      <w:r>
        <w:tab/>
      </w:r>
      <w:r>
        <w:fldChar w:fldCharType="begin"/>
      </w:r>
      <w:r>
        <w:instrText xml:space="preserve"> PAGEREF _Toc20173 \h </w:instrText>
      </w:r>
      <w:r>
        <w:fldChar w:fldCharType="separate"/>
      </w:r>
      <w:r>
        <w:t>27</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_Toc7488 </w:instrText>
      </w:r>
      <w:r>
        <w:rPr>
          <w:rFonts w:ascii="宋体" w:hAnsi="宋体"/>
        </w:rPr>
        <w:fldChar w:fldCharType="separate"/>
      </w:r>
      <w:r>
        <w:rPr>
          <w:rFonts w:hint="eastAsia" w:ascii="宋体" w:hAnsi="宋体" w:eastAsia="宋体"/>
          <w:i w:val="0"/>
        </w:rPr>
        <w:t xml:space="preserve">6.3 </w:t>
      </w:r>
      <w:r>
        <w:rPr>
          <w:rFonts w:hint="eastAsia"/>
        </w:rPr>
        <w:t>技术文件</w:t>
      </w:r>
      <w:r>
        <w:tab/>
      </w:r>
      <w:r>
        <w:fldChar w:fldCharType="begin"/>
      </w:r>
      <w:r>
        <w:instrText xml:space="preserve"> PAGEREF _Toc7488 \h </w:instrText>
      </w:r>
      <w:r>
        <w:fldChar w:fldCharType="separate"/>
      </w:r>
      <w:r>
        <w:t>28</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_Toc28300 </w:instrText>
      </w:r>
      <w:r>
        <w:rPr>
          <w:rFonts w:ascii="宋体" w:hAnsi="宋体"/>
        </w:rPr>
        <w:fldChar w:fldCharType="separate"/>
      </w:r>
      <w:r>
        <w:rPr>
          <w:rFonts w:hint="eastAsia" w:ascii="Arial" w:hAnsi="Arial"/>
          <w:lang w:val="en-US" w:eastAsia="zh-CN"/>
        </w:rPr>
        <w:t>6.4 商务文件</w:t>
      </w:r>
      <w:r>
        <w:tab/>
      </w:r>
      <w:r>
        <w:fldChar w:fldCharType="begin"/>
      </w:r>
      <w:r>
        <w:instrText xml:space="preserve"> PAGEREF _Toc28300 \h </w:instrText>
      </w:r>
      <w:r>
        <w:fldChar w:fldCharType="separate"/>
      </w:r>
      <w:r>
        <w:t>29</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_Toc7659 </w:instrText>
      </w:r>
      <w:r>
        <w:rPr>
          <w:rFonts w:ascii="宋体" w:hAnsi="宋体"/>
        </w:rPr>
        <w:fldChar w:fldCharType="separate"/>
      </w:r>
      <w:r>
        <w:rPr>
          <w:rFonts w:hint="eastAsia"/>
          <w:lang w:val="en-US" w:eastAsia="zh-CN"/>
        </w:rPr>
        <w:t>6.5承诺书</w:t>
      </w:r>
      <w:r>
        <w:tab/>
      </w:r>
      <w:r>
        <w:fldChar w:fldCharType="begin"/>
      </w:r>
      <w:r>
        <w:instrText xml:space="preserve"> PAGEREF _Toc7659 \h </w:instrText>
      </w:r>
      <w:r>
        <w:fldChar w:fldCharType="separate"/>
      </w:r>
      <w:r>
        <w:t>34</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_Toc23159 </w:instrText>
      </w:r>
      <w:r>
        <w:rPr>
          <w:rFonts w:ascii="宋体" w:hAnsi="宋体"/>
        </w:rPr>
        <w:fldChar w:fldCharType="separate"/>
      </w:r>
      <w:r>
        <w:rPr>
          <w:rFonts w:hint="eastAsia"/>
          <w:lang w:val="en-US" w:eastAsia="zh-CN"/>
        </w:rPr>
        <w:t>6.6 投标资格文件</w:t>
      </w:r>
      <w:r>
        <w:tab/>
      </w:r>
      <w:r>
        <w:fldChar w:fldCharType="begin"/>
      </w:r>
      <w:r>
        <w:instrText xml:space="preserve"> PAGEREF _Toc23159 \h </w:instrText>
      </w:r>
      <w:r>
        <w:fldChar w:fldCharType="separate"/>
      </w:r>
      <w:r>
        <w:t>35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_Toc26504 </w:instrText>
      </w:r>
      <w:r>
        <w:rPr>
          <w:rFonts w:ascii="宋体" w:hAnsi="宋体"/>
        </w:rPr>
        <w:fldChar w:fldCharType="separate"/>
      </w:r>
      <w:r>
        <w:rPr>
          <w:rFonts w:hint="eastAsia"/>
          <w:lang w:val="en-US" w:eastAsia="zh-CN"/>
        </w:rPr>
        <w:t>6.7法定代表人证明书</w:t>
      </w:r>
      <w:r>
        <w:tab/>
      </w:r>
      <w:r>
        <w:fldChar w:fldCharType="begin"/>
      </w:r>
      <w:r>
        <w:instrText xml:space="preserve"> PAGEREF _Toc26504 \h </w:instrText>
      </w:r>
      <w:r>
        <w:fldChar w:fldCharType="separate"/>
      </w:r>
      <w:r>
        <w:t>37</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_Toc20519 </w:instrText>
      </w:r>
      <w:r>
        <w:rPr>
          <w:rFonts w:ascii="宋体" w:hAnsi="宋体"/>
        </w:rPr>
        <w:fldChar w:fldCharType="separate"/>
      </w:r>
      <w:r>
        <w:rPr>
          <w:rFonts w:hint="eastAsia" w:ascii="Arial" w:hAnsi="Arial"/>
          <w:lang w:val="en-US" w:eastAsia="zh-CN"/>
        </w:rPr>
        <w:t>6.8 授权委托书</w:t>
      </w:r>
      <w:r>
        <w:tab/>
      </w:r>
      <w:r>
        <w:fldChar w:fldCharType="begin"/>
      </w:r>
      <w:r>
        <w:instrText xml:space="preserve"> PAGEREF _Toc20519 \h </w:instrText>
      </w:r>
      <w:r>
        <w:fldChar w:fldCharType="separate"/>
      </w:r>
      <w:r>
        <w:t>38</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_Toc7944 </w:instrText>
      </w:r>
      <w:r>
        <w:rPr>
          <w:rFonts w:ascii="宋体" w:hAnsi="宋体"/>
        </w:rPr>
        <w:fldChar w:fldCharType="separate"/>
      </w:r>
      <w:r>
        <w:rPr>
          <w:rFonts w:hint="eastAsia"/>
          <w:lang w:val="en-US" w:eastAsia="zh-CN"/>
        </w:rPr>
        <w:t>6.9 投标文件自查清单（仅供提示）</w:t>
      </w:r>
      <w:r>
        <w:tab/>
      </w:r>
      <w:r>
        <w:fldChar w:fldCharType="begin"/>
      </w:r>
      <w:r>
        <w:instrText xml:space="preserve"> PAGEREF _Toc7944 \h </w:instrText>
      </w:r>
      <w:r>
        <w:fldChar w:fldCharType="separate"/>
      </w:r>
      <w:r>
        <w:t>39</w:t>
      </w:r>
      <w:r>
        <w:fldChar w:fldCharType="end"/>
      </w:r>
      <w:r>
        <w:rPr>
          <w:rFonts w:ascii="宋体" w:hAnsi="宋体"/>
          <w:color w:val="000000"/>
        </w:rPr>
        <w:fldChar w:fldCharType="end"/>
      </w:r>
    </w:p>
    <w:p>
      <w:pPr>
        <w:spacing w:line="360" w:lineRule="auto"/>
        <w:rPr>
          <w:rFonts w:ascii="宋体" w:hAnsi="宋体"/>
          <w:color w:val="000000"/>
          <w:sz w:val="23"/>
          <w:szCs w:val="23"/>
        </w:rPr>
        <w:sectPr>
          <w:headerReference r:id="rId6" w:type="first"/>
          <w:footerReference r:id="rId8" w:type="first"/>
          <w:footerReference r:id="rId7" w:type="default"/>
          <w:pgSz w:w="11907" w:h="16840"/>
          <w:pgMar w:top="1440" w:right="1758" w:bottom="1440" w:left="175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ascii="宋体" w:hAnsi="宋体"/>
          <w:color w:val="000000"/>
        </w:rPr>
        <w:fldChar w:fldCharType="end"/>
      </w:r>
    </w:p>
    <w:p>
      <w:pPr>
        <w:pStyle w:val="3"/>
        <w:bidi w:val="0"/>
      </w:pPr>
      <w:bookmarkStart w:id="0" w:name="_Toc23064"/>
      <w:r>
        <w:rPr>
          <w:rFonts w:hint="eastAsia"/>
        </w:rPr>
        <w:t>第一部分投标邀请函</w:t>
      </w:r>
      <w:bookmarkEnd w:id="0"/>
    </w:p>
    <w:p>
      <w:pPr>
        <w:spacing w:line="52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u w:val="single"/>
        </w:rPr>
        <w:t>各潜在投标人</w:t>
      </w:r>
      <w:r>
        <w:rPr>
          <w:rFonts w:hint="eastAsia" w:asciiTheme="minorEastAsia" w:hAnsiTheme="minorEastAsia" w:eastAsiaTheme="minorEastAsia"/>
          <w:color w:val="000000"/>
          <w:sz w:val="24"/>
          <w:szCs w:val="24"/>
        </w:rPr>
        <w:t>：</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根据《后勤处采购管理实施办法》有关规定，我处拟通过公开招标方式</w:t>
      </w:r>
      <w:r>
        <w:rPr>
          <w:rFonts w:hint="eastAsia" w:asciiTheme="minorEastAsia" w:hAnsiTheme="minorEastAsia" w:eastAsiaTheme="minorEastAsia"/>
          <w:spacing w:val="-6"/>
          <w:sz w:val="24"/>
          <w:szCs w:val="24"/>
        </w:rPr>
        <w:t>为</w:t>
      </w:r>
      <w:r>
        <w:rPr>
          <w:rFonts w:hint="eastAsia" w:asciiTheme="minorEastAsia" w:hAnsiTheme="minorEastAsia" w:eastAsiaTheme="minorEastAsia"/>
          <w:sz w:val="24"/>
          <w:szCs w:val="24"/>
          <w:lang w:val="en-US" w:eastAsia="zh-CN"/>
        </w:rPr>
        <w:t>广州校区2021-2024年北校园图书馆弱电系统维护保养服务</w:t>
      </w:r>
      <w:r>
        <w:rPr>
          <w:rFonts w:hint="eastAsia" w:asciiTheme="minorEastAsia" w:hAnsiTheme="minorEastAsia" w:eastAsiaTheme="minorEastAsia"/>
          <w:sz w:val="24"/>
          <w:szCs w:val="24"/>
        </w:rPr>
        <w:t>项目</w:t>
      </w:r>
      <w:r>
        <w:rPr>
          <w:rFonts w:hint="eastAsia" w:asciiTheme="minorEastAsia" w:hAnsiTheme="minorEastAsia" w:eastAsiaTheme="minorEastAsia"/>
          <w:spacing w:val="-6"/>
          <w:sz w:val="24"/>
          <w:szCs w:val="24"/>
        </w:rPr>
        <w:t>选定供应商</w:t>
      </w:r>
      <w:r>
        <w:rPr>
          <w:rFonts w:hint="eastAsia" w:asciiTheme="minorEastAsia" w:hAnsiTheme="minorEastAsia" w:eastAsiaTheme="minorEastAsia"/>
          <w:sz w:val="24"/>
          <w:szCs w:val="24"/>
        </w:rPr>
        <w:t>。欢迎符合资格条件的供应商前来投标。有关事宜如下：</w:t>
      </w:r>
    </w:p>
    <w:p>
      <w:pPr>
        <w:numPr>
          <w:ilvl w:val="0"/>
          <w:numId w:val="2"/>
        </w:numPr>
        <w:tabs>
          <w:tab w:val="left" w:pos="0"/>
        </w:tabs>
        <w:spacing w:line="520" w:lineRule="exact"/>
        <w:ind w:hanging="540"/>
        <w:jc w:val="left"/>
        <w:rPr>
          <w:rFonts w:asciiTheme="minorEastAsia" w:hAnsiTheme="minorEastAsia" w:eastAsiaTheme="minorEastAsia"/>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广州校区2021-2024年北校园图书馆弱电系统维护保养服务</w:t>
      </w:r>
      <w:r>
        <w:rPr>
          <w:rFonts w:hint="eastAsia" w:asciiTheme="minorEastAsia" w:hAnsiTheme="minorEastAsia" w:eastAsiaTheme="minorEastAsia"/>
          <w:sz w:val="24"/>
          <w:szCs w:val="24"/>
        </w:rPr>
        <w:t>项</w:t>
      </w:r>
      <w:r>
        <w:rPr>
          <w:rFonts w:hint="eastAsia" w:asciiTheme="minorEastAsia" w:hAnsiTheme="minorEastAsia" w:eastAsiaTheme="minorEastAsia"/>
          <w:sz w:val="24"/>
          <w:szCs w:val="24"/>
          <w:lang w:val="en-US" w:eastAsia="zh-CN"/>
        </w:rPr>
        <w:t xml:space="preserve">                      </w:t>
      </w:r>
      <w:r>
        <w:rPr>
          <w:rFonts w:hint="eastAsia"/>
        </w:rPr>
        <w:t>目</w:t>
      </w:r>
    </w:p>
    <w:p>
      <w:pPr>
        <w:numPr>
          <w:ilvl w:val="0"/>
          <w:numId w:val="2"/>
        </w:numPr>
        <w:tabs>
          <w:tab w:val="left" w:pos="0"/>
        </w:tabs>
        <w:spacing w:line="520" w:lineRule="exact"/>
        <w:ind w:hanging="540"/>
        <w:rPr>
          <w:rFonts w:asciiTheme="minorEastAsia" w:hAnsiTheme="minorEastAsia" w:eastAsiaTheme="minorEastAsia"/>
          <w:color w:val="auto"/>
          <w:sz w:val="24"/>
          <w:szCs w:val="24"/>
        </w:rPr>
      </w:pPr>
      <w:r>
        <w:rPr>
          <w:rFonts w:hint="eastAsia" w:asciiTheme="minorEastAsia" w:hAnsiTheme="minorEastAsia" w:eastAsiaTheme="minorEastAsia"/>
          <w:bCs/>
          <w:sz w:val="24"/>
          <w:szCs w:val="24"/>
        </w:rPr>
        <w:t>投标最高控制价：</w:t>
      </w:r>
      <w:r>
        <w:rPr>
          <w:rFonts w:hint="eastAsia" w:cs="仿宋_GB2312" w:asciiTheme="minorEastAsia" w:hAnsiTheme="minorEastAsia" w:eastAsiaTheme="minorEastAsia"/>
          <w:color w:val="auto"/>
          <w:sz w:val="24"/>
          <w:szCs w:val="24"/>
          <w:lang w:val="en-US" w:eastAsia="zh-CN"/>
        </w:rPr>
        <w:t>190418</w:t>
      </w:r>
      <w:r>
        <w:rPr>
          <w:rFonts w:hint="eastAsia" w:cs="仿宋_GB2312" w:asciiTheme="minorEastAsia" w:hAnsiTheme="minorEastAsia" w:eastAsiaTheme="minorEastAsia"/>
          <w:color w:val="auto"/>
          <w:sz w:val="24"/>
          <w:szCs w:val="24"/>
        </w:rPr>
        <w:t>元</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rPr>
        <w:t>递交投标文件及</w:t>
      </w:r>
      <w:r>
        <w:rPr>
          <w:rFonts w:asciiTheme="minorEastAsia" w:hAnsiTheme="minorEastAsia" w:eastAsiaTheme="minorEastAsia"/>
          <w:sz w:val="24"/>
          <w:szCs w:val="24"/>
        </w:rPr>
        <w:t>投标截止时间</w:t>
      </w:r>
    </w:p>
    <w:p>
      <w:pPr>
        <w:spacing w:line="520" w:lineRule="exact"/>
        <w:ind w:firstLine="600" w:firstLineChars="2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1.3.1递交投标文件时间：202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上</w:t>
      </w:r>
      <w:r>
        <w:rPr>
          <w:rFonts w:hint="eastAsia" w:asciiTheme="minorEastAsia" w:hAnsiTheme="minorEastAsia" w:eastAsiaTheme="minorEastAsia"/>
          <w:sz w:val="24"/>
          <w:szCs w:val="24"/>
        </w:rPr>
        <w:t>午9点-</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 xml:space="preserve">点 </w:t>
      </w:r>
    </w:p>
    <w:p>
      <w:pPr>
        <w:spacing w:line="52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1.3.2</w:t>
      </w:r>
      <w:r>
        <w:rPr>
          <w:rFonts w:asciiTheme="minorEastAsia" w:hAnsiTheme="minorEastAsia" w:eastAsiaTheme="minorEastAsia"/>
          <w:sz w:val="24"/>
          <w:szCs w:val="24"/>
        </w:rPr>
        <w:t>投标截止时间：</w:t>
      </w:r>
      <w:r>
        <w:rPr>
          <w:rFonts w:hint="eastAsia" w:asciiTheme="minorEastAsia" w:hAnsiTheme="minorEastAsia" w:eastAsiaTheme="minorEastAsia"/>
          <w:color w:val="auto"/>
          <w:sz w:val="24"/>
          <w:szCs w:val="24"/>
        </w:rPr>
        <w:t>202</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4</w:t>
      </w:r>
      <w:r>
        <w:rPr>
          <w:rFonts w:hint="eastAsia" w:asciiTheme="minorEastAsia" w:hAnsiTheme="minorEastAsia" w:eastAsiaTheme="minorEastAsia"/>
          <w:color w:val="auto"/>
          <w:sz w:val="24"/>
          <w:szCs w:val="24"/>
        </w:rPr>
        <w:t>日上午</w:t>
      </w:r>
      <w:r>
        <w:rPr>
          <w:rFonts w:hint="eastAsia" w:asciiTheme="minorEastAsia" w:hAnsiTheme="minorEastAsia" w:eastAsiaTheme="minorEastAsia"/>
          <w:color w:val="auto"/>
          <w:sz w:val="24"/>
          <w:szCs w:val="24"/>
          <w:lang w:val="en-US" w:eastAsia="zh-CN"/>
        </w:rPr>
        <w:t>11</w:t>
      </w:r>
      <w:r>
        <w:rPr>
          <w:rFonts w:hint="eastAsia" w:asciiTheme="minorEastAsia" w:hAnsiTheme="minorEastAsia" w:eastAsiaTheme="minorEastAsia"/>
          <w:color w:val="auto"/>
          <w:sz w:val="24"/>
          <w:szCs w:val="24"/>
        </w:rPr>
        <w:t>点整</w:t>
      </w:r>
      <w:bookmarkStart w:id="58" w:name="_GoBack"/>
      <w:bookmarkEnd w:id="58"/>
    </w:p>
    <w:p>
      <w:pPr>
        <w:numPr>
          <w:ilvl w:val="0"/>
          <w:numId w:val="2"/>
        </w:numPr>
        <w:tabs>
          <w:tab w:val="left" w:pos="0"/>
        </w:tabs>
        <w:spacing w:line="520" w:lineRule="exact"/>
        <w:ind w:hanging="540"/>
        <w:rPr>
          <w:rFonts w:asciiTheme="minorEastAsia" w:hAnsiTheme="minorEastAsia" w:eastAsiaTheme="minorEastAsia"/>
          <w:sz w:val="24"/>
          <w:szCs w:val="24"/>
        </w:rPr>
      </w:pPr>
      <w:r>
        <w:rPr>
          <w:rFonts w:asciiTheme="minorEastAsia" w:hAnsiTheme="minorEastAsia" w:eastAsiaTheme="minorEastAsia"/>
          <w:sz w:val="24"/>
          <w:szCs w:val="24"/>
        </w:rPr>
        <w:t>信息发布</w:t>
      </w:r>
      <w:r>
        <w:rPr>
          <w:rFonts w:hint="eastAsia" w:asciiTheme="minorEastAsia" w:hAnsiTheme="minorEastAsia" w:eastAsiaTheme="minorEastAsia"/>
          <w:sz w:val="24"/>
          <w:szCs w:val="24"/>
        </w:rPr>
        <w:t>媒体</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凡与本项目相关的澄清、变更、以及中标公示、成交结果等信息均发布在广东财经大学后勤处</w:t>
      </w:r>
      <w:r>
        <w:rPr>
          <w:rFonts w:hint="eastAsia" w:asciiTheme="minorEastAsia" w:hAnsiTheme="minorEastAsia" w:eastAsiaTheme="minorEastAsia"/>
          <w:spacing w:val="-12"/>
          <w:sz w:val="24"/>
          <w:szCs w:val="24"/>
        </w:rPr>
        <w:t>网站</w:t>
      </w:r>
      <w:r>
        <w:rPr>
          <w:rFonts w:hint="eastAsia" w:asciiTheme="minorEastAsia" w:hAnsiTheme="minorEastAsia" w:eastAsiaTheme="minorEastAsia"/>
          <w:sz w:val="24"/>
          <w:szCs w:val="24"/>
        </w:rPr>
        <w:t>和学校公告栏。如有不一致，以发布在广东财经大学后勤处网站的文本为准。</w:t>
      </w:r>
    </w:p>
    <w:p>
      <w:pPr>
        <w:numPr>
          <w:ilvl w:val="0"/>
          <w:numId w:val="2"/>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期望得到的协助与配合</w:t>
      </w:r>
    </w:p>
    <w:p>
      <w:pPr>
        <w:numPr>
          <w:ilvl w:val="0"/>
          <w:numId w:val="0"/>
        </w:numPr>
        <w:tabs>
          <w:tab w:val="left" w:pos="0"/>
        </w:tabs>
        <w:spacing w:line="520" w:lineRule="exact"/>
        <w:ind w:left="567" w:leftChars="0" w:firstLine="480" w:firstLineChars="200"/>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cs="Tahoma"/>
          <w:color w:val="000000"/>
          <w:sz w:val="24"/>
        </w:rPr>
        <w:t>（</w:t>
      </w:r>
      <w:r>
        <w:rPr>
          <w:rFonts w:hint="eastAsia" w:ascii="宋体" w:hAnsi="宋体" w:cs="Tahoma"/>
          <w:b/>
          <w:color w:val="000000"/>
          <w:sz w:val="24"/>
        </w:rPr>
        <w:t>联系人：</w:t>
      </w:r>
      <w:r>
        <w:rPr>
          <w:rFonts w:hint="eastAsia" w:ascii="宋体" w:hAnsi="宋体" w:cs="Tahoma"/>
          <w:b/>
          <w:color w:val="000000"/>
          <w:sz w:val="24"/>
          <w:lang w:val="en-US" w:eastAsia="zh-CN"/>
        </w:rPr>
        <w:t>余</w:t>
      </w:r>
      <w:r>
        <w:rPr>
          <w:rFonts w:hint="eastAsia" w:ascii="宋体" w:hAnsi="宋体" w:cs="Tahoma"/>
          <w:b/>
          <w:color w:val="000000"/>
          <w:sz w:val="24"/>
        </w:rPr>
        <w:t>老师，办公电话：020-84096</w:t>
      </w:r>
      <w:r>
        <w:rPr>
          <w:rFonts w:hint="eastAsia" w:ascii="宋体" w:hAnsi="宋体" w:cs="Tahoma"/>
          <w:b/>
          <w:color w:val="000000"/>
          <w:sz w:val="24"/>
          <w:lang w:val="en-US" w:eastAsia="zh-CN"/>
        </w:rPr>
        <w:t>609</w:t>
      </w:r>
      <w:r>
        <w:rPr>
          <w:rFonts w:hint="eastAsia" w:ascii="宋体" w:hAnsi="宋体" w:cs="Tahoma"/>
          <w:color w:val="000000"/>
          <w:sz w:val="24"/>
        </w:rPr>
        <w:t>）</w:t>
      </w:r>
      <w:r>
        <w:rPr>
          <w:rFonts w:hint="eastAsia" w:asciiTheme="minorEastAsia" w:hAnsiTheme="minorEastAsia" w:eastAsiaTheme="minorEastAsia"/>
          <w:sz w:val="23"/>
          <w:szCs w:val="23"/>
          <w:lang w:val="en-US" w:eastAsia="zh-CN"/>
        </w:rPr>
        <w:t>。</w:t>
      </w:r>
      <w:r>
        <w:rPr>
          <w:rFonts w:hint="eastAsia" w:asciiTheme="minorEastAsia" w:hAnsiTheme="minorEastAsia" w:eastAsiaTheme="minorEastAsia"/>
          <w:sz w:val="24"/>
          <w:szCs w:val="24"/>
          <w:lang w:val="en-US" w:eastAsia="zh-CN"/>
        </w:rPr>
        <w:t>对您的支持与配合，谨表谢意。</w:t>
      </w:r>
    </w:p>
    <w:p>
      <w:pPr>
        <w:numPr>
          <w:ilvl w:val="0"/>
          <w:numId w:val="2"/>
        </w:numPr>
        <w:tabs>
          <w:tab w:val="left" w:pos="0"/>
        </w:tabs>
        <w:spacing w:line="520" w:lineRule="exact"/>
        <w:ind w:hanging="540"/>
        <w:rPr>
          <w:rFonts w:hint="eastAsia" w:ascii="宋体" w:hAnsi="宋体"/>
          <w:b/>
          <w:color w:val="000000"/>
          <w:sz w:val="24"/>
        </w:rPr>
      </w:pPr>
      <w:r>
        <w:rPr>
          <w:rFonts w:hint="eastAsia" w:ascii="宋体" w:hAnsi="宋体"/>
          <w:b/>
          <w:color w:val="000000"/>
          <w:sz w:val="24"/>
        </w:rPr>
        <w:t>注意事项</w:t>
      </w:r>
    </w:p>
    <w:p>
      <w:pPr>
        <w:pStyle w:val="168"/>
        <w:spacing w:line="500" w:lineRule="exact"/>
        <w:ind w:left="1391"/>
        <w:rPr>
          <w:rFonts w:hint="eastAsia" w:ascii="宋体" w:hAnsi="宋体" w:eastAsia="宋体" w:cs="宋体"/>
          <w:sz w:val="24"/>
          <w:szCs w:val="24"/>
          <w:shd w:val="clear" w:color="auto" w:fill="FFFFFF"/>
          <w:lang w:val="zh-TW" w:eastAsia="zh-TW"/>
        </w:rPr>
      </w:pPr>
      <w:r>
        <w:rPr>
          <w:rFonts w:hint="eastAsia" w:ascii="宋体" w:hAnsi="宋体" w:eastAsia="宋体"/>
          <w:sz w:val="24"/>
          <w:szCs w:val="24"/>
        </w:rPr>
        <w:t>因疫情防控需要，投标人进入学校及投标须满足以下条件：</w:t>
      </w:r>
    </w:p>
    <w:p>
      <w:pPr>
        <w:pStyle w:val="168"/>
        <w:numPr>
          <w:ilvl w:val="0"/>
          <w:numId w:val="3"/>
        </w:numPr>
        <w:spacing w:line="500" w:lineRule="exact"/>
        <w:rPr>
          <w:rFonts w:hint="eastAsia" w:ascii="宋体" w:hAnsi="宋体" w:eastAsia="宋体"/>
          <w:b/>
          <w:bCs/>
          <w:sz w:val="24"/>
          <w:szCs w:val="24"/>
          <w:lang w:val="en-US" w:eastAsia="zh-CN"/>
        </w:rPr>
      </w:pPr>
      <w:r>
        <w:rPr>
          <w:rFonts w:hint="eastAsia" w:ascii="宋体" w:hAnsi="宋体" w:eastAsia="宋体"/>
          <w:sz w:val="24"/>
          <w:szCs w:val="24"/>
        </w:rPr>
        <w:t>投标人须提前在微信小程序“粤省事”粤康码健康申报功能中如实登记个人近期旅居史、接触史、身体健康状况、来粤方式等情况。须持</w:t>
      </w:r>
      <w:r>
        <w:rPr>
          <w:rFonts w:hint="eastAsia" w:ascii="宋体" w:hAnsi="宋体" w:eastAsia="宋体"/>
          <w:b/>
          <w:sz w:val="24"/>
          <w:szCs w:val="24"/>
        </w:rPr>
        <w:t>粤康码电子健康码绿码</w:t>
      </w:r>
      <w:r>
        <w:rPr>
          <w:rFonts w:hint="eastAsia" w:ascii="宋体" w:hAnsi="宋体" w:eastAsia="宋体"/>
          <w:sz w:val="24"/>
          <w:szCs w:val="24"/>
        </w:rPr>
        <w:t>。</w:t>
      </w:r>
      <w:r>
        <w:rPr>
          <w:rFonts w:hint="eastAsia" w:ascii="宋体" w:hAnsi="宋体" w:eastAsia="宋体"/>
          <w:sz w:val="24"/>
          <w:szCs w:val="24"/>
          <w:lang w:val="en-US" w:eastAsia="zh-CN"/>
        </w:rPr>
        <w:t>请各投标人提前一天联系：余</w:t>
      </w:r>
      <w:r>
        <w:rPr>
          <w:rFonts w:hint="eastAsia" w:ascii="宋体" w:hAnsi="宋体" w:eastAsia="宋体"/>
          <w:sz w:val="24"/>
          <w:szCs w:val="24"/>
          <w:lang w:eastAsia="zh-CN"/>
        </w:rPr>
        <w:t>老师</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联系电话：020-8409</w:t>
      </w:r>
      <w:r>
        <w:rPr>
          <w:rFonts w:hint="eastAsia" w:ascii="宋体" w:hAnsi="宋体" w:eastAsia="宋体"/>
          <w:sz w:val="24"/>
          <w:szCs w:val="24"/>
          <w:lang w:val="en-US" w:eastAsia="zh-CN"/>
        </w:rPr>
        <w:t>6609/15625015507。进行入校投标报备。</w:t>
      </w:r>
      <w:r>
        <w:rPr>
          <w:rFonts w:hint="eastAsia" w:ascii="宋体" w:hAnsi="宋体" w:eastAsia="宋体"/>
          <w:b/>
          <w:bCs/>
          <w:sz w:val="24"/>
          <w:szCs w:val="24"/>
          <w:lang w:val="en-US" w:eastAsia="zh-CN"/>
        </w:rPr>
        <w:t>不按规定，无法入校，责任自担。</w:t>
      </w:r>
    </w:p>
    <w:p>
      <w:pPr>
        <w:pStyle w:val="168"/>
        <w:numPr>
          <w:ilvl w:val="0"/>
          <w:numId w:val="3"/>
        </w:numPr>
        <w:spacing w:line="500" w:lineRule="exact"/>
        <w:rPr>
          <w:rFonts w:hint="eastAsia" w:ascii="宋体" w:hAnsi="宋体"/>
          <w:b/>
          <w:sz w:val="24"/>
        </w:rPr>
      </w:pPr>
      <w:r>
        <w:rPr>
          <w:rFonts w:hint="eastAsia" w:ascii="宋体" w:hAnsi="宋体" w:eastAsia="宋体"/>
          <w:sz w:val="24"/>
          <w:szCs w:val="24"/>
        </w:rPr>
        <w:t>投标人须遵守学校疫情防控相关要求，有序进学校，不聚集聊天，与人保持间隔1米以上。同时，投标人均应主动出示粤康码等电子健康码绿码，接受体温检测，并</w:t>
      </w:r>
      <w:r>
        <w:rPr>
          <w:rFonts w:hint="eastAsia" w:ascii="宋体" w:hAnsi="宋体" w:eastAsia="宋体"/>
          <w:b/>
          <w:sz w:val="24"/>
          <w:szCs w:val="24"/>
        </w:rPr>
        <w:t>全程佩戴一次性医用口罩</w:t>
      </w:r>
      <w:r>
        <w:rPr>
          <w:rFonts w:hint="eastAsia" w:ascii="宋体" w:hAnsi="宋体" w:eastAsia="宋体"/>
          <w:sz w:val="24"/>
          <w:szCs w:val="24"/>
        </w:rPr>
        <w:t>。如粤康码等电子健康码为红码、黄码或体温≥37.3℃，不得进入学校。</w:t>
      </w:r>
    </w:p>
    <w:p>
      <w:pPr>
        <w:pStyle w:val="168"/>
        <w:numPr>
          <w:ilvl w:val="0"/>
          <w:numId w:val="3"/>
        </w:numPr>
        <w:spacing w:line="500" w:lineRule="exact"/>
        <w:rPr>
          <w:rFonts w:asciiTheme="minorEastAsia" w:hAnsiTheme="minorEastAsia" w:eastAsiaTheme="minorEastAsia"/>
          <w:sz w:val="23"/>
          <w:szCs w:val="23"/>
        </w:rPr>
      </w:pPr>
      <w:r>
        <w:rPr>
          <w:rFonts w:hint="eastAsia" w:ascii="宋体" w:hAnsi="宋体" w:eastAsia="宋体"/>
          <w:sz w:val="24"/>
          <w:szCs w:val="24"/>
          <w:lang w:val="en-US" w:eastAsia="zh-CN"/>
        </w:rPr>
        <w:t>递交投标文件</w:t>
      </w:r>
      <w:r>
        <w:rPr>
          <w:rFonts w:hint="eastAsia" w:ascii="宋体" w:hAnsi="宋体" w:eastAsia="宋体"/>
          <w:sz w:val="24"/>
          <w:szCs w:val="24"/>
        </w:rPr>
        <w:t>结束后，投标人应立即离开学校。</w:t>
      </w:r>
    </w:p>
    <w:p>
      <w:pPr>
        <w:numPr>
          <w:ilvl w:val="0"/>
          <w:numId w:val="2"/>
        </w:numPr>
        <w:tabs>
          <w:tab w:val="left" w:pos="0"/>
        </w:tabs>
        <w:spacing w:line="520" w:lineRule="exact"/>
        <w:ind w:hanging="54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招标人及联系方式</w:t>
      </w:r>
    </w:p>
    <w:tbl>
      <w:tblPr>
        <w:tblStyle w:val="43"/>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招标人：</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广东财经大学</w:t>
            </w:r>
          </w:p>
        </w:tc>
        <w:tc>
          <w:tcPr>
            <w:tcW w:w="1564"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tc>
        <w:tc>
          <w:tcPr>
            <w:tcW w:w="2475" w:type="dxa"/>
          </w:tcPr>
          <w:p>
            <w:pPr>
              <w:spacing w:line="52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余老师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020-8409</w:t>
            </w:r>
            <w:r>
              <w:rPr>
                <w:rFonts w:hint="eastAsia" w:asciiTheme="minorEastAsia" w:hAnsiTheme="minorEastAsia" w:eastAsiaTheme="minorEastAsia"/>
                <w:sz w:val="24"/>
                <w:szCs w:val="24"/>
                <w:lang w:val="en-US" w:eastAsia="zh-CN"/>
              </w:rPr>
              <w:t>6609</w:t>
            </w:r>
            <w:r>
              <w:rPr>
                <w:rFonts w:hint="eastAsia" w:asciiTheme="minorEastAsia" w:hAnsiTheme="minorEastAsia" w:eastAsiaTheme="minorEastAsia"/>
                <w:sz w:val="24"/>
                <w:szCs w:val="24"/>
              </w:rPr>
              <w:t xml:space="preserve">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联系地址：</w:t>
            </w:r>
          </w:p>
        </w:tc>
        <w:tc>
          <w:tcPr>
            <w:tcW w:w="6300" w:type="dxa"/>
            <w:gridSpan w:val="3"/>
          </w:tcPr>
          <w:p>
            <w:pPr>
              <w:spacing w:line="520" w:lineRule="exact"/>
              <w:jc w:val="left"/>
              <w:rPr>
                <w:rFonts w:asciiTheme="minorEastAsia" w:hAnsiTheme="minorEastAsia" w:eastAsiaTheme="minorEastAsia"/>
                <w:sz w:val="24"/>
                <w:szCs w:val="24"/>
                <w:lang w:val="zh-CN"/>
              </w:rPr>
            </w:pPr>
            <w:r>
              <w:rPr>
                <w:rFonts w:hint="eastAsia" w:asciiTheme="minorEastAsia" w:hAnsiTheme="minorEastAsia" w:eastAsiaTheme="minorEastAsia"/>
                <w:sz w:val="24"/>
                <w:szCs w:val="24"/>
              </w:rPr>
              <w:t>广东财经大学后勤处（广州市海珠区仑头路21号门诊楼404）</w:t>
            </w:r>
          </w:p>
        </w:tc>
      </w:tr>
    </w:tbl>
    <w:p>
      <w:pPr>
        <w:pStyle w:val="3"/>
        <w:jc w:val="center"/>
        <w:rPr>
          <w:rFonts w:asciiTheme="minorEastAsia" w:hAnsiTheme="minorEastAsia" w:eastAsiaTheme="minorEastAsia"/>
          <w:b w:val="0"/>
          <w:sz w:val="23"/>
          <w:szCs w:val="23"/>
        </w:rPr>
      </w:pPr>
    </w:p>
    <w:p>
      <w:pPr>
        <w:bidi w:val="0"/>
        <w:jc w:val="center"/>
        <w:rPr>
          <w:rFonts w:asciiTheme="minorEastAsia" w:hAnsiTheme="minorEastAsia" w:eastAsiaTheme="minorEastAsia"/>
          <w:b w:val="0"/>
          <w:sz w:val="23"/>
          <w:szCs w:val="23"/>
        </w:rPr>
      </w:pPr>
    </w:p>
    <w:p>
      <w:pPr>
        <w:bidi w:val="0"/>
        <w:jc w:val="left"/>
        <w:rPr>
          <w:rFonts w:hint="eastAsia" w:asciiTheme="minorEastAsia" w:hAnsiTheme="minorEastAsia" w:eastAsiaTheme="minorEastAsia"/>
          <w:sz w:val="32"/>
          <w:szCs w:val="23"/>
        </w:rPr>
        <w:sectPr>
          <w:footerReference r:id="rId11" w:type="first"/>
          <w:headerReference r:id="rId9" w:type="default"/>
          <w:footerReference r:id="rId10"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bookmarkStart w:id="1" w:name="_Toc280272729"/>
      <w:bookmarkStart w:id="2" w:name="OLE_LINK44"/>
      <w:bookmarkStart w:id="3" w:name="_Toc298325850"/>
    </w:p>
    <w:p>
      <w:pPr>
        <w:pStyle w:val="3"/>
        <w:bidi w:val="0"/>
      </w:pPr>
      <w:bookmarkStart w:id="4" w:name="_Toc21471"/>
      <w:r>
        <w:rPr>
          <w:rFonts w:hint="eastAsia"/>
        </w:rPr>
        <w:t>第二部分  项目内容及需求</w:t>
      </w:r>
      <w:bookmarkEnd w:id="1"/>
      <w:bookmarkEnd w:id="4"/>
    </w:p>
    <w:bookmarkEnd w:id="2"/>
    <w:bookmarkEnd w:id="3"/>
    <w:p>
      <w:pPr>
        <w:pStyle w:val="5"/>
        <w:bidi w:val="0"/>
      </w:pPr>
      <w:bookmarkStart w:id="5" w:name="_Toc476156708"/>
      <w:bookmarkStart w:id="6" w:name="_Toc26680"/>
      <w:bookmarkStart w:id="7" w:name="_Toc475456405"/>
      <w:bookmarkStart w:id="8" w:name="_Toc477536152"/>
      <w:bookmarkStart w:id="9" w:name="_Toc475462268"/>
      <w:bookmarkStart w:id="10" w:name="_Toc475463106"/>
      <w:r>
        <w:rPr>
          <w:rFonts w:hint="eastAsia"/>
        </w:rPr>
        <w:t>2.1 项目概况</w:t>
      </w:r>
      <w:bookmarkEnd w:id="5"/>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000000"/>
          <w:kern w:val="2"/>
          <w:sz w:val="24"/>
          <w:szCs w:val="24"/>
          <w:lang w:val="en-US" w:eastAsia="zh-CN" w:bidi="ar-SA"/>
        </w:rPr>
      </w:pPr>
      <w:bookmarkStart w:id="11" w:name="_Toc475463107"/>
      <w:bookmarkStart w:id="12" w:name="_Toc477536153"/>
      <w:bookmarkStart w:id="13" w:name="_Toc475462269"/>
      <w:bookmarkStart w:id="14" w:name="_Toc476156709"/>
      <w:bookmarkStart w:id="15" w:name="_Toc475456406"/>
      <w:r>
        <w:rPr>
          <w:rFonts w:hint="eastAsia" w:ascii="宋体" w:hAnsi="宋体" w:eastAsia="宋体" w:cs="Times New Roman"/>
          <w:b/>
          <w:bCs/>
          <w:color w:val="000000"/>
          <w:kern w:val="2"/>
          <w:sz w:val="24"/>
          <w:szCs w:val="24"/>
          <w:lang w:val="en-US" w:eastAsia="zh-CN" w:bidi="ar-SA"/>
        </w:rPr>
        <w:t>2.1.1  项目范围：</w:t>
      </w:r>
      <w:r>
        <w:rPr>
          <w:rFonts w:hint="eastAsia" w:ascii="宋体" w:hAnsi="宋体" w:eastAsia="宋体" w:cs="Times New Roman"/>
          <w:color w:val="000000"/>
          <w:kern w:val="2"/>
          <w:sz w:val="24"/>
          <w:szCs w:val="24"/>
          <w:lang w:val="en-US" w:eastAsia="zh-CN" w:bidi="ar-SA"/>
        </w:rPr>
        <w:t>本项目是为广东财经大学广州校区北校园图书馆的弱电系统提供维护保养服务，保障系统正常运行，提高使用效率，降低运行费用，减少设备使用故障率，延长设备使用寿命，避免弱电系统故障对师生科研和学习造成不利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2.1.2  维保服务内容：</w:t>
      </w:r>
      <w:r>
        <w:rPr>
          <w:rFonts w:hint="eastAsia" w:ascii="宋体" w:hAnsi="宋体" w:eastAsia="宋体" w:cs="Times New Roman"/>
          <w:color w:val="000000"/>
          <w:kern w:val="2"/>
          <w:sz w:val="24"/>
          <w:szCs w:val="24"/>
          <w:lang w:val="en-US" w:eastAsia="zh-CN" w:bidi="ar-SA"/>
        </w:rPr>
        <w:t>包括综合布线系统、背景音乐系统、门禁系统、建筑设备节能系统、信息引导系统和照明系统等弱电系统设备的日常巡视、维修、保养、检测检修等。投标人须对本项目进行整体响应，任何只对其中一部分内容进行的响应都被视为无效响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b w:val="0"/>
          <w:bCs w:val="0"/>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2.1.3  维保服务期：</w:t>
      </w:r>
      <w:r>
        <w:rPr>
          <w:rFonts w:hint="eastAsia" w:ascii="宋体" w:hAnsi="宋体" w:eastAsia="宋体" w:cs="Times New Roman"/>
          <w:b w:val="0"/>
          <w:bCs w:val="0"/>
          <w:color w:val="000000"/>
          <w:kern w:val="2"/>
          <w:sz w:val="24"/>
          <w:szCs w:val="24"/>
          <w:lang w:val="en-US" w:eastAsia="zh-CN" w:bidi="ar-SA"/>
        </w:rPr>
        <w:t>自合同签订之日起叁年。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2.1.4  图书馆弱电系统维保工程量清单及保养需求</w:t>
      </w:r>
    </w:p>
    <w:tbl>
      <w:tblPr>
        <w:tblStyle w:val="43"/>
        <w:tblW w:w="0" w:type="auto"/>
        <w:tblInd w:w="0" w:type="dxa"/>
        <w:tblLayout w:type="fixed"/>
        <w:tblCellMar>
          <w:top w:w="15" w:type="dxa"/>
          <w:left w:w="15" w:type="dxa"/>
          <w:bottom w:w="15" w:type="dxa"/>
          <w:right w:w="15" w:type="dxa"/>
        </w:tblCellMar>
      </w:tblPr>
      <w:tblGrid>
        <w:gridCol w:w="1080"/>
        <w:gridCol w:w="1576"/>
        <w:gridCol w:w="1185"/>
        <w:gridCol w:w="1440"/>
        <w:gridCol w:w="1614"/>
        <w:gridCol w:w="1614"/>
      </w:tblGrid>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序号</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设备名称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数量</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月保养</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kern w:val="0"/>
                <w:sz w:val="24"/>
                <w:lang w:bidi="ar"/>
              </w:rPr>
              <w:t>季保养</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宋体"/>
                <w:b/>
                <w:bCs/>
                <w:color w:val="000000"/>
                <w:kern w:val="0"/>
                <w:sz w:val="24"/>
                <w:lang w:val="en-US" w:eastAsia="zh-CN" w:bidi="ar"/>
              </w:rPr>
            </w:pPr>
            <w:r>
              <w:rPr>
                <w:rFonts w:hint="eastAsia" w:ascii="仿宋_GB2312" w:hAnsi="宋体" w:eastAsia="仿宋_GB2312" w:cs="宋体"/>
                <w:b/>
                <w:bCs/>
                <w:color w:val="000000"/>
                <w:kern w:val="0"/>
                <w:sz w:val="24"/>
                <w:lang w:val="en-US" w:eastAsia="zh-CN" w:bidi="ar"/>
              </w:rPr>
              <w:t>半年保养</w:t>
            </w: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（一）综合布线系统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数据模块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580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语音模块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54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（二）背景音乐系统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MP3播放机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CD/DVD播放机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AM/FM接收机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卡座录音机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6</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功放</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7</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吸顶扬声器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（三）门禁系统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工作站</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发卡机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读卡器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门磁开关</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5</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电控锁</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6</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开关按钮</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91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（四）建筑设备节能系统（</w:t>
            </w:r>
            <w:r>
              <w:rPr>
                <w:rFonts w:hint="eastAsia" w:ascii="仿宋_GB2312" w:hAnsi="宋体" w:eastAsia="仿宋_GB2312" w:cs="宋体"/>
                <w:color w:val="000000"/>
                <w:kern w:val="0"/>
                <w:sz w:val="24"/>
                <w:lang w:bidi="ar"/>
              </w:rPr>
              <w:t>一年六次，4、5、6、</w:t>
            </w:r>
            <w:r>
              <w:rPr>
                <w:rFonts w:hint="eastAsia" w:ascii="仿宋_GB2312" w:hAnsi="宋体" w:eastAsia="仿宋_GB2312" w:cs="宋体"/>
                <w:color w:val="000000"/>
                <w:kern w:val="0"/>
                <w:sz w:val="24"/>
                <w:lang w:val="en-US" w:eastAsia="zh-CN" w:bidi="ar"/>
              </w:rPr>
              <w:t>7</w:t>
            </w:r>
            <w:r>
              <w:rPr>
                <w:rFonts w:hint="eastAsia" w:ascii="仿宋_GB2312" w:hAnsi="宋体" w:eastAsia="仿宋_GB2312" w:cs="宋体"/>
                <w:color w:val="000000"/>
                <w:kern w:val="0"/>
                <w:sz w:val="24"/>
                <w:lang w:bidi="ar"/>
              </w:rPr>
              <w:t>、9、10月</w:t>
            </w:r>
            <w:r>
              <w:rPr>
                <w:rFonts w:hint="eastAsia" w:ascii="仿宋_GB2312" w:hAnsi="宋体" w:eastAsia="仿宋_GB2312" w:cs="宋体"/>
                <w:b/>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工作站</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接口网关</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DDC控制器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62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风机盘管控制器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5</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风机盘管开关面板</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6</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网络控制器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7</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交换机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8</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压差开关</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52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4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9</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风管温度传感器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245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4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浸入式温度传感器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CO2传感器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52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压差传感器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湿度传感器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94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流量传感器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15</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控制箱</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62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315"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sz w:val="24"/>
              </w:rPr>
            </w:pPr>
            <w:r>
              <w:rPr>
                <w:rFonts w:hint="eastAsia" w:ascii="仿宋_GB2312" w:hAnsi="宋体" w:eastAsia="仿宋_GB2312" w:cs="宋体"/>
                <w:b/>
                <w:color w:val="000000"/>
                <w:kern w:val="0"/>
                <w:sz w:val="24"/>
                <w:lang w:bidi="ar"/>
              </w:rPr>
              <w:t>（五）信息引导系统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5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中央管理系统</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 w:val="24"/>
                <w:lang w:bidi="ar"/>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LED条屏</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sz w:val="18"/>
                <w:szCs w:val="18"/>
              </w:rPr>
            </w:pPr>
            <w:r>
              <w:rPr>
                <w:rFonts w:hint="eastAsia" w:ascii="仿宋_GB2312" w:hAnsi="宋体" w:eastAsia="仿宋_GB2312" w:cs="宋体"/>
                <w:color w:val="000000"/>
                <w:kern w:val="0"/>
                <w:sz w:val="24"/>
                <w:lang w:bidi="ar"/>
              </w:rPr>
              <w:t>20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0"/>
                <w:sz w:val="24"/>
                <w:lang w:bidi="ar"/>
              </w:rPr>
            </w:pPr>
          </w:p>
        </w:tc>
      </w:tr>
      <w:tr>
        <w:tblPrEx>
          <w:tblCellMar>
            <w:top w:w="15" w:type="dxa"/>
            <w:left w:w="15" w:type="dxa"/>
            <w:bottom w:w="15" w:type="dxa"/>
            <w:right w:w="15" w:type="dxa"/>
          </w:tblCellMar>
        </w:tblPrEx>
        <w:trPr>
          <w:trHeight w:val="420"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 w:val="22"/>
                <w:szCs w:val="22"/>
              </w:rPr>
            </w:pPr>
            <w:r>
              <w:rPr>
                <w:rFonts w:hint="eastAsia" w:ascii="仿宋_GB2312" w:hAnsi="宋体" w:eastAsia="仿宋_GB2312" w:cs="宋体"/>
                <w:b/>
                <w:color w:val="000000"/>
                <w:kern w:val="0"/>
                <w:sz w:val="24"/>
                <w:lang w:bidi="ar"/>
              </w:rPr>
              <w:t>（六）照明系统</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主控器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控制模块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6895"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宋体"/>
                <w:color w:val="000000"/>
                <w:sz w:val="22"/>
                <w:szCs w:val="22"/>
              </w:rPr>
            </w:pPr>
            <w:r>
              <w:rPr>
                <w:rFonts w:hint="eastAsia" w:ascii="仿宋_GB2312" w:hAnsi="宋体" w:eastAsia="仿宋_GB2312" w:cs="宋体"/>
                <w:b/>
                <w:color w:val="000000"/>
                <w:kern w:val="0"/>
                <w:sz w:val="24"/>
                <w:lang w:bidi="ar"/>
              </w:rPr>
              <w:t>（七）软件</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宋体"/>
                <w:b/>
                <w:color w:val="000000"/>
                <w:kern w:val="0"/>
                <w:sz w:val="24"/>
                <w:lang w:bidi="ar"/>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广播系统平台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门禁系统平台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建筑设备监控系统平台软件</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 w:val="22"/>
                <w:szCs w:val="22"/>
              </w:rPr>
            </w:pPr>
          </w:p>
        </w:tc>
      </w:tr>
      <w:tr>
        <w:tblPrEx>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照明系统平台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kern w:val="2"/>
                <w:sz w:val="22"/>
                <w:szCs w:val="22"/>
                <w:lang w:val="en-US" w:eastAsia="zh-CN" w:bidi="ar-SA"/>
              </w:rPr>
            </w:pPr>
            <w:r>
              <w:rPr>
                <w:rFonts w:hint="eastAsia" w:ascii="仿宋_GB2312" w:hAnsi="宋体" w:eastAsia="仿宋_GB2312" w:cs="宋体"/>
                <w:color w:val="000000"/>
                <w:kern w:val="0"/>
                <w:sz w:val="24"/>
                <w:lang w:bidi="ar"/>
              </w:rPr>
              <w:t>○</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宋体"/>
                <w:color w:val="000000"/>
                <w:sz w:val="22"/>
                <w:szCs w:val="22"/>
              </w:rPr>
            </w:pPr>
          </w:p>
        </w:tc>
      </w:tr>
    </w:tbl>
    <w:p>
      <w:pPr>
        <w:spacing w:line="360" w:lineRule="auto"/>
        <w:rPr>
          <w:rFonts w:hint="eastAsia" w:ascii="仿宋_GB2312" w:hAnsi="宋体" w:eastAsia="仿宋_GB2312"/>
          <w:b/>
          <w:bCs/>
          <w:sz w:val="24"/>
        </w:rPr>
      </w:pPr>
      <w:r>
        <w:rPr>
          <w:rFonts w:hint="eastAsia" w:ascii="仿宋_GB2312" w:eastAsia="仿宋_GB2312"/>
          <w:b/>
          <w:bCs/>
          <w:kern w:val="28"/>
          <w:sz w:val="24"/>
        </w:rPr>
        <w:t>说明：</w:t>
      </w:r>
      <w:r>
        <w:rPr>
          <w:rFonts w:hint="eastAsia" w:ascii="仿宋_GB2312" w:hAnsi="宋体" w:eastAsia="仿宋_GB2312" w:cs="宋体"/>
          <w:b/>
          <w:bCs/>
          <w:kern w:val="0"/>
          <w:sz w:val="24"/>
        </w:rPr>
        <w:t>○表示需要做这项工作。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2.1.5  项目总体要求</w:t>
      </w:r>
    </w:p>
    <w:p>
      <w:pPr>
        <w:spacing w:line="360" w:lineRule="auto"/>
        <w:ind w:firstLine="482" w:firstLineChars="200"/>
        <w:jc w:val="left"/>
        <w:rPr>
          <w:rFonts w:hint="eastAsia" w:ascii="宋体" w:hAnsi="宋体"/>
          <w:color w:val="000000"/>
          <w:sz w:val="24"/>
          <w:szCs w:val="24"/>
          <w:lang w:val="en-US" w:eastAsia="zh-CN"/>
        </w:rPr>
      </w:pPr>
      <w:r>
        <w:rPr>
          <w:rFonts w:hint="eastAsia" w:ascii="宋体" w:hAnsi="宋体"/>
          <w:b/>
          <w:color w:val="000000"/>
          <w:sz w:val="24"/>
          <w:szCs w:val="24"/>
          <w:lang w:val="en-US" w:eastAsia="zh-CN"/>
        </w:rPr>
        <w:t xml:space="preserve">1. </w:t>
      </w:r>
      <w:r>
        <w:rPr>
          <w:rFonts w:hint="eastAsia" w:ascii="宋体" w:hAnsi="宋体"/>
          <w:color w:val="000000"/>
          <w:sz w:val="24"/>
          <w:szCs w:val="24"/>
          <w:lang w:val="en-US" w:eastAsia="zh-CN"/>
        </w:rPr>
        <w:t>投标人应对所有的招标内容进行投标，不允许只对部分内容进行投标。</w:t>
      </w:r>
    </w:p>
    <w:p>
      <w:pPr>
        <w:spacing w:line="360" w:lineRule="auto"/>
        <w:ind w:firstLine="482" w:firstLineChars="200"/>
        <w:jc w:val="left"/>
        <w:rPr>
          <w:rFonts w:hint="eastAsia" w:ascii="宋体" w:hAnsi="宋体"/>
          <w:color w:val="000000"/>
          <w:sz w:val="24"/>
          <w:szCs w:val="24"/>
          <w:lang w:val="en-US" w:eastAsia="zh-CN"/>
        </w:rPr>
      </w:pPr>
      <w:r>
        <w:rPr>
          <w:rFonts w:hint="eastAsia" w:ascii="宋体" w:hAnsi="宋体"/>
          <w:b/>
          <w:color w:val="000000"/>
          <w:sz w:val="24"/>
          <w:szCs w:val="24"/>
          <w:lang w:val="en-US" w:eastAsia="zh-CN"/>
        </w:rPr>
        <w:t xml:space="preserve">2. </w:t>
      </w:r>
      <w:r>
        <w:rPr>
          <w:rFonts w:hint="eastAsia" w:ascii="宋体" w:hAnsi="宋体"/>
          <w:color w:val="000000"/>
          <w:sz w:val="24"/>
          <w:szCs w:val="24"/>
          <w:lang w:val="en-US" w:eastAsia="zh-CN"/>
        </w:rPr>
        <w:t>图书馆的弱电系统设备设施的具体品牌、规格、型号、数量等，以现场实际情况为准。维保费用，在全面满足本项目需求的基础上，已包含校区全部弱电系统设备设施的维护、保养、税费、技术指导、检测、润滑、清洁、单次维修200元（含）以内的设备材料费、以及完成技术服务需求全部工作的全部费用。供应商漏报的单价或每单价报价中漏报、少报的费用，视为此项费用已包含在投标报价中，中标后不得再向采购人收取任何费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3.</w:t>
      </w:r>
      <w:r>
        <w:rPr>
          <w:rFonts w:hint="eastAsia"/>
          <w:sz w:val="24"/>
          <w:szCs w:val="24"/>
          <w:lang w:val="en-US" w:eastAsia="zh-CN"/>
        </w:rPr>
        <w:t xml:space="preserve"> </w:t>
      </w:r>
      <w:r>
        <w:rPr>
          <w:rFonts w:hint="eastAsia" w:ascii="宋体" w:hAnsi="宋体" w:eastAsia="宋体" w:cs="Times New Roman"/>
          <w:color w:val="000000"/>
          <w:kern w:val="2"/>
          <w:sz w:val="24"/>
          <w:szCs w:val="24"/>
          <w:lang w:val="en-US" w:eastAsia="zh-CN" w:bidi="ar-SA"/>
        </w:rPr>
        <w:t>★在合同期内，采购人有可能更换、大修或少量新增广州校区图书馆弱电系统设施设备，更换、大修及新增后的设施设备仍然属于本项目弱电系统设备设施维保服务范围内，不论各类弱电设备设施的规格型号是否变化、数量是否增加，均不再增加额外维保费用，各投标人自行测算报价时应充分考虑相关因素。</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4. </w:t>
      </w:r>
      <w:r>
        <w:rPr>
          <w:rFonts w:hint="eastAsia" w:ascii="宋体" w:hAnsi="宋体" w:eastAsia="宋体" w:cs="Times New Roman"/>
          <w:color w:val="000000"/>
          <w:kern w:val="2"/>
          <w:sz w:val="24"/>
          <w:szCs w:val="24"/>
          <w:lang w:val="en-US" w:eastAsia="zh-CN" w:bidi="ar-SA"/>
        </w:rPr>
        <w:t>★对出现的设备故障，由供应商编制维修方案和费用预算，采购人审核同意后，单次维修200元（含）以内的设备材料费由供应商承担和由供应商免费安装。单次维修200元以上的设备材料和安装费可采用议价的方式向供应商采购，也可由采购人负责提供，由供应商安装调试，安装费采用议价形式确定，议价方式根据《后勤处采购管理实施办法》，双方就采购的项目价格、服务、要求进行商议。</w:t>
      </w:r>
    </w:p>
    <w:p>
      <w:pPr>
        <w:pStyle w:val="2"/>
        <w:rPr>
          <w:rFonts w:hint="eastAsia" w:ascii="宋体" w:hAnsi="宋体" w:eastAsia="宋体" w:cs="Times New Roman"/>
          <w:color w:val="000000"/>
          <w:kern w:val="2"/>
          <w:sz w:val="21"/>
          <w:szCs w:val="21"/>
          <w:lang w:val="en-US" w:eastAsia="zh-CN" w:bidi="ar-SA"/>
        </w:rPr>
      </w:pPr>
      <w:r>
        <w:rPr>
          <w:rFonts w:hint="eastAsia" w:ascii="宋体" w:hAnsi="宋体"/>
          <w:b/>
          <w:color w:val="000000"/>
          <w:sz w:val="24"/>
          <w:szCs w:val="24"/>
          <w:lang w:val="en-US" w:eastAsia="zh-CN"/>
        </w:rPr>
        <w:t xml:space="preserve">5. </w:t>
      </w:r>
      <w:r>
        <w:rPr>
          <w:rFonts w:hint="eastAsia" w:ascii="宋体" w:hAnsi="宋体" w:eastAsia="宋体" w:cs="Times New Roman"/>
          <w:color w:val="000000"/>
          <w:kern w:val="2"/>
          <w:sz w:val="24"/>
          <w:szCs w:val="24"/>
          <w:lang w:val="en-US" w:eastAsia="zh-CN" w:bidi="ar-SA"/>
        </w:rPr>
        <w:t>供应商不得将委托管理项目转包给第三方管理，不允许分包或转包管理责任和管理事宜。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 xml:space="preserve">2.1.6  维护保养服务的技术服务要求 </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1. </w:t>
      </w:r>
      <w:r>
        <w:rPr>
          <w:rFonts w:hint="eastAsia" w:ascii="宋体" w:hAnsi="宋体" w:eastAsia="宋体" w:cs="Times New Roman"/>
          <w:color w:val="000000"/>
          <w:kern w:val="2"/>
          <w:sz w:val="24"/>
          <w:szCs w:val="24"/>
          <w:lang w:val="en-US" w:eastAsia="zh-CN" w:bidi="ar-SA"/>
        </w:rPr>
        <w:t>中标人在维保期内应严格执行设备的维护保养有关要求，确保设备安全、可靠、高效运行，做好维修和维护保养的工作，并能通过相关职能部门的各项检查。</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2. </w:t>
      </w:r>
      <w:r>
        <w:rPr>
          <w:rFonts w:hint="eastAsia" w:ascii="宋体" w:hAnsi="宋体" w:eastAsia="宋体" w:cs="Times New Roman"/>
          <w:color w:val="000000"/>
          <w:kern w:val="2"/>
          <w:sz w:val="24"/>
          <w:szCs w:val="24"/>
          <w:lang w:val="en-US" w:eastAsia="zh-CN" w:bidi="ar-SA"/>
        </w:rPr>
        <w:t>中标人每次检测或维保工作完毕后出具维护保养项目工作单，并经采购人代表签章认可。</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04" w:firstLineChars="209"/>
        <w:textAlignment w:val="auto"/>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3. </w:t>
      </w:r>
      <w:r>
        <w:rPr>
          <w:rFonts w:hint="eastAsia" w:ascii="宋体" w:hAnsi="宋体" w:eastAsia="宋体" w:cs="Times New Roman"/>
          <w:color w:val="000000"/>
          <w:kern w:val="2"/>
          <w:sz w:val="24"/>
          <w:szCs w:val="24"/>
          <w:lang w:val="en-US" w:eastAsia="zh-CN" w:bidi="ar-SA"/>
        </w:rPr>
        <w:t>中标人需提供7*24小时抢修响应服务，在维保期内弱电系统运行出现故障，中标人需在接到通知后2小时内到现场进行维修处理，小故障在接报后4小时内修复；如系统发生重大故障不能正常运行的，中标人应尽快确诊，提出书面维修方案报采购方审批，并在人力物力许可的情况下尽快修复；同时应做好相应的临时补救措施，并有书面记录存查。</w:t>
      </w:r>
    </w:p>
    <w:p>
      <w:pPr>
        <w:spacing w:line="360" w:lineRule="auto"/>
        <w:ind w:firstLine="482" w:firstLineChars="200"/>
        <w:jc w:val="left"/>
        <w:rPr>
          <w:rFonts w:hint="eastAsia" w:ascii="仿宋" w:hAnsi="仿宋" w:eastAsia="仿宋" w:cs="Times New Roman"/>
          <w:bCs/>
          <w:sz w:val="24"/>
          <w:szCs w:val="24"/>
          <w:lang w:val="en-US" w:eastAsia="zh-CN"/>
        </w:rPr>
      </w:pPr>
      <w:r>
        <w:rPr>
          <w:rFonts w:hint="eastAsia" w:ascii="宋体" w:hAnsi="宋体"/>
          <w:b/>
          <w:color w:val="000000"/>
          <w:sz w:val="24"/>
          <w:szCs w:val="24"/>
          <w:lang w:val="en-US" w:eastAsia="zh-CN"/>
        </w:rPr>
        <w:t xml:space="preserve">4. </w:t>
      </w:r>
      <w:r>
        <w:rPr>
          <w:rFonts w:hint="eastAsia" w:ascii="宋体" w:hAnsi="宋体" w:eastAsia="宋体" w:cs="Times New Roman"/>
          <w:color w:val="000000"/>
          <w:kern w:val="2"/>
          <w:sz w:val="24"/>
          <w:szCs w:val="24"/>
          <w:lang w:val="en-US" w:eastAsia="zh-CN" w:bidi="ar-SA"/>
        </w:rPr>
        <w:t>中标人要确定至少2名维修人员负责本维保的24小时联络、组织、技术咨询工作，并对维保范围内的弱电系统负维护保养责任。在维修保养过程中提供技术服务，按本用户需求的维修保养具体内容负责对设备进行认真的测试、维护，确保采购人设备安全、可靠、高效、无故障运行。</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5. </w:t>
      </w:r>
      <w:r>
        <w:rPr>
          <w:rFonts w:hint="eastAsia" w:ascii="宋体" w:hAnsi="宋体" w:eastAsia="宋体" w:cs="Times New Roman"/>
          <w:color w:val="000000"/>
          <w:kern w:val="2"/>
          <w:sz w:val="24"/>
          <w:szCs w:val="24"/>
          <w:lang w:val="en-US" w:eastAsia="zh-CN" w:bidi="ar-SA"/>
        </w:rPr>
        <w:t>中标人在进行维修项目前必须提前书面告知采购人列明维修内容、更换零配件规格、型号、产品厂家及单价，所提供的零配件必须是原厂的全新产品。在采购人确认和备案的前提下安排维修项目，维修结束时双方验收签字确认。如未经双方验收认可的维修项目（未经科室签名确认或监督部门验收的维修项目），视为中标人未维修好。</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6. </w:t>
      </w:r>
      <w:r>
        <w:rPr>
          <w:rFonts w:hint="eastAsia" w:ascii="宋体" w:hAnsi="宋体" w:eastAsia="宋体" w:cs="Times New Roman"/>
          <w:color w:val="000000"/>
          <w:kern w:val="2"/>
          <w:sz w:val="24"/>
          <w:szCs w:val="24"/>
          <w:lang w:val="en-US" w:eastAsia="zh-CN" w:bidi="ar-SA"/>
        </w:rPr>
        <w:t>维修人员严格执行国家有关维修保养规范要求，做好各项维修和维护保养记录。</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7. </w:t>
      </w:r>
      <w:r>
        <w:rPr>
          <w:rFonts w:hint="eastAsia" w:ascii="宋体" w:hAnsi="宋体" w:eastAsia="宋体" w:cs="Times New Roman"/>
          <w:color w:val="000000"/>
          <w:kern w:val="2"/>
          <w:sz w:val="24"/>
          <w:szCs w:val="24"/>
          <w:lang w:val="en-US" w:eastAsia="zh-CN" w:bidi="ar-SA"/>
        </w:rPr>
        <w:t>服务人员配置：投标时须提供本项目人员架构图及相关的资质证书复印件。</w:t>
      </w:r>
    </w:p>
    <w:p>
      <w:pPr>
        <w:pStyle w:val="2"/>
        <w:ind w:left="0" w:leftChars="0" w:firstLine="504" w:firstLineChars="209"/>
        <w:rPr>
          <w:rFonts w:hint="default"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8. </w:t>
      </w:r>
      <w:r>
        <w:rPr>
          <w:rFonts w:hint="eastAsia" w:ascii="宋体" w:hAnsi="宋体" w:eastAsia="宋体" w:cs="Times New Roman"/>
          <w:color w:val="000000"/>
          <w:kern w:val="2"/>
          <w:sz w:val="24"/>
          <w:szCs w:val="24"/>
          <w:lang w:val="en-US" w:eastAsia="zh-CN" w:bidi="ar-SA"/>
        </w:rPr>
        <w:t>中标人负责对维保人员进行礼貌教育，进入采购人工作区域时应遵守采购人的各项管理制度，服从采购人管理，如有违反按采购人的管理规定处罚。</w:t>
      </w:r>
    </w:p>
    <w:p>
      <w:pPr>
        <w:spacing w:line="360" w:lineRule="auto"/>
        <w:ind w:left="0" w:leftChars="0"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9. </w:t>
      </w:r>
      <w:r>
        <w:rPr>
          <w:rFonts w:hint="eastAsia" w:ascii="宋体" w:hAnsi="宋体" w:eastAsia="宋体" w:cs="Times New Roman"/>
          <w:color w:val="000000"/>
          <w:kern w:val="2"/>
          <w:sz w:val="24"/>
          <w:szCs w:val="24"/>
          <w:lang w:val="en-US" w:eastAsia="zh-CN" w:bidi="ar-SA"/>
        </w:rPr>
        <w:t>中标人的维修人员到现场应遵守采购人有关管理制度，如损坏采购人其它设施及财产，中标人应无条件负责恢复原状，并承担相关费用。</w:t>
      </w:r>
    </w:p>
    <w:p>
      <w:pPr>
        <w:spacing w:line="360" w:lineRule="auto"/>
        <w:ind w:firstLine="482"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b/>
          <w:color w:val="000000"/>
          <w:sz w:val="24"/>
          <w:szCs w:val="24"/>
          <w:lang w:val="en-US" w:eastAsia="zh-CN"/>
        </w:rPr>
        <w:t xml:space="preserve">10. </w:t>
      </w:r>
      <w:r>
        <w:rPr>
          <w:rFonts w:hint="eastAsia" w:ascii="宋体" w:hAnsi="宋体" w:eastAsia="宋体" w:cs="Times New Roman"/>
          <w:color w:val="000000"/>
          <w:kern w:val="2"/>
          <w:sz w:val="24"/>
          <w:szCs w:val="24"/>
          <w:lang w:val="en-US" w:eastAsia="zh-CN" w:bidi="ar-SA"/>
        </w:rPr>
        <w:t>合同结束前，投标人应针对采购人设备作一份状况分析，交采购人有关人员签字确认备案。合同期满后中标人必须按接收专用工具设备、图纸等清单移交给采购人，并保证设备完好。</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color w:val="auto"/>
          <w:kern w:val="2"/>
          <w:sz w:val="24"/>
          <w:szCs w:val="24"/>
          <w:lang w:val="en-US" w:eastAsia="zh-CN" w:bidi="ar-SA"/>
        </w:rPr>
      </w:pPr>
      <w:r>
        <w:rPr>
          <w:rFonts w:hint="eastAsia" w:ascii="宋体" w:hAnsi="宋体"/>
          <w:b/>
          <w:color w:val="auto"/>
          <w:sz w:val="24"/>
          <w:szCs w:val="24"/>
          <w:lang w:val="en-US" w:eastAsia="zh-CN"/>
        </w:rPr>
        <w:t>11.</w:t>
      </w:r>
      <w:r>
        <w:rPr>
          <w:rFonts w:hint="eastAsia" w:ascii="宋体" w:hAnsi="宋体"/>
          <w:b w:val="0"/>
          <w:bCs/>
          <w:color w:val="auto"/>
          <w:sz w:val="24"/>
          <w:szCs w:val="24"/>
          <w:lang w:val="en-US" w:eastAsia="zh-CN"/>
        </w:rPr>
        <w:t>服务档案记录：</w:t>
      </w:r>
      <w:r>
        <w:rPr>
          <w:rFonts w:hint="eastAsia" w:ascii="宋体" w:hAnsi="宋体" w:eastAsia="宋体" w:cs="Times New Roman"/>
          <w:color w:val="auto"/>
          <w:kern w:val="2"/>
          <w:sz w:val="24"/>
          <w:szCs w:val="24"/>
          <w:lang w:val="en-US" w:eastAsia="zh-CN" w:bidi="ar-SA"/>
        </w:rPr>
        <w:t>承包人针对每次巡检、保养及抢修设备的过程均记录详细的数据资料，并与采购方相关负责人员最终签字确认，记录资料主要包括有巡检记录表、保养记录表和维修记录表。合同期满后，承包人将完整的维保、维修档案材料移交给采购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2.1.7 维护保养标准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▲维护保养项目日常例行检修工作要求</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投标人提供每周一次的定期</w:t>
      </w:r>
      <w:r>
        <w:rPr>
          <w:rFonts w:hint="eastAsia" w:ascii="宋体" w:hAnsi="宋体" w:cs="Times New Roman"/>
          <w:color w:val="000000"/>
          <w:kern w:val="2"/>
          <w:sz w:val="24"/>
          <w:szCs w:val="24"/>
          <w:lang w:val="en-US" w:eastAsia="zh-CN" w:bidi="ar-SA"/>
        </w:rPr>
        <w:t>检修维护</w:t>
      </w:r>
      <w:r>
        <w:rPr>
          <w:rFonts w:hint="eastAsia" w:ascii="宋体" w:hAnsi="宋体" w:eastAsia="宋体" w:cs="Times New Roman"/>
          <w:color w:val="000000"/>
          <w:kern w:val="2"/>
          <w:sz w:val="24"/>
          <w:szCs w:val="24"/>
          <w:lang w:val="en-US" w:eastAsia="zh-CN" w:bidi="ar-SA"/>
        </w:rPr>
        <w:t>，时间不少于1个工作日。由投保人派技术员现场开展</w:t>
      </w:r>
      <w:r>
        <w:rPr>
          <w:rFonts w:hint="eastAsia" w:ascii="宋体" w:hAnsi="宋体" w:cs="Times New Roman"/>
          <w:color w:val="000000"/>
          <w:kern w:val="2"/>
          <w:sz w:val="24"/>
          <w:szCs w:val="24"/>
          <w:lang w:val="en-US" w:eastAsia="zh-CN" w:bidi="ar-SA"/>
        </w:rPr>
        <w:t>检修</w:t>
      </w:r>
      <w:r>
        <w:rPr>
          <w:rFonts w:hint="eastAsia" w:ascii="宋体" w:hAnsi="宋体" w:eastAsia="宋体" w:cs="Times New Roman"/>
          <w:color w:val="000000"/>
          <w:kern w:val="2"/>
          <w:sz w:val="24"/>
          <w:szCs w:val="24"/>
          <w:lang w:val="en-US" w:eastAsia="zh-CN" w:bidi="ar-SA"/>
        </w:rPr>
        <w:t>维护工作，定期</w:t>
      </w:r>
      <w:r>
        <w:rPr>
          <w:rFonts w:hint="eastAsia" w:ascii="宋体" w:hAnsi="宋体" w:cs="Times New Roman"/>
          <w:color w:val="000000"/>
          <w:kern w:val="2"/>
          <w:sz w:val="24"/>
          <w:szCs w:val="24"/>
          <w:lang w:val="en-US" w:eastAsia="zh-CN" w:bidi="ar-SA"/>
        </w:rPr>
        <w:t>检修</w:t>
      </w:r>
      <w:r>
        <w:rPr>
          <w:rFonts w:hint="eastAsia" w:ascii="宋体" w:hAnsi="宋体" w:eastAsia="宋体" w:cs="Times New Roman"/>
          <w:color w:val="000000"/>
          <w:kern w:val="2"/>
          <w:sz w:val="24"/>
          <w:szCs w:val="24"/>
          <w:lang w:val="en-US" w:eastAsia="zh-CN" w:bidi="ar-SA"/>
        </w:rPr>
        <w:t>维护后出具书面报告给采购人主管部门代表签名确认，每周一次例行检修主要工作内容包括∶</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1.检查各弱电子系统服务器的运行是否正常；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2.检查各弱电子系统的通讯是否正常；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3.检查各软件及服务的升级与更新；</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4.数据库文件的定期清理及备份；</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5.设备台账的更新与维护；</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6.模式的更新与维护。</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7.设备的维修和更换等。</w:t>
      </w:r>
    </w:p>
    <w:p>
      <w:pPr>
        <w:spacing w:line="360" w:lineRule="auto"/>
        <w:ind w:firstLine="480" w:firstLineChars="200"/>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▲定期保养要求</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1.综合布线系统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（1）每月一次设备的除尘、清理，扫净设备显露的尘土，对机架，交换机等部件要彻底吹风除尘，防止由于交换机运转、静电等因素将尘土吸入机体内，确保机器正常运行；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（2）清洁设备尘土，保持设备清洁；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（3）检查信息跳线紧固情况，如有松动或脱落，应及时更换或紧固；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（4）整理表面凌乱的信息跳线,去除过期的废线；</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（5）检查机房配线架；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（6）检查弱电井内配线架和内网的服务器，外网交换机；</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（7）检查弱电井到前端模块线路，接头处包扎是否完好，室外线路是否有破损。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2.背景音乐系统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（1）抽查2处分区广播是否正常；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（2）检查机房设备：机房广播系统外观是否正常；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（3）每月检查主机电脑性能，进行磁盘清理。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（4）季度检查现场设备工作状态，进行必要的调整检测。</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（5）年度保养：更换易损备件、历史数据检查归。</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3.门禁系统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（1）电控锁功能应有效，工作正常，应防拆；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（2）出入口数据处理设备应齐全有效；</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（3）读卡器应清洁、功能有效；</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（4）电控锁确保机械和电机正常。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4.建筑设备节能系统</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（1）控制器各期间状态是否正常；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（2）设备箱关闭是否良好、是否积水；</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（3）控制线内部是否存在异常翻动；</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（4）可控制开关是否正常；</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（5）每周对相关软件进行检查，检查运行性能，清除数据垃圾，进行升级处理；</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（6）系统每月进行一次巡查，检查工作情况；</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(7)月度保养：更换易损备件、历史数据检查归档。</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5.信息引导系统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（1）led显示屏屏幕进行除尘；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（2）检查是否正常工作，如不工作要及时维修或更换；  </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（3）检查线路有无损坏，线路有损坏要及时修补或者更换；</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6.照明控制系统</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1</w:t>
      </w:r>
      <w:r>
        <w:rPr>
          <w:rFonts w:hint="eastAsia" w:ascii="宋体" w:hAnsi="宋体" w:eastAsia="宋体" w:cs="Times New Roman"/>
          <w:color w:val="000000"/>
          <w:kern w:val="2"/>
          <w:sz w:val="24"/>
          <w:szCs w:val="24"/>
          <w:lang w:val="zh-CN" w:eastAsia="zh-CN" w:bidi="ar-SA"/>
        </w:rPr>
        <w:t>）检查灯光开关控制器模块外观及内外环境是否正常；</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zh-CN" w:eastAsia="zh-CN" w:bidi="ar-SA"/>
        </w:rPr>
        <w:t>）检查灯光开关控制器模块接线端子、线路连接状态；</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kern w:val="2"/>
          <w:sz w:val="24"/>
          <w:szCs w:val="24"/>
          <w:lang w:val="zh-CN" w:eastAsia="zh-CN" w:bidi="ar-SA"/>
        </w:rPr>
        <w:t>）检查灯光开关控制器模块输入信号是否正常；</w:t>
      </w:r>
    </w:p>
    <w:p>
      <w:pPr>
        <w:spacing w:line="360" w:lineRule="auto"/>
        <w:ind w:firstLine="480" w:firstLineChars="200"/>
        <w:jc w:val="left"/>
        <w:rPr>
          <w:rFonts w:hint="eastAsia" w:ascii="宋体" w:hAnsi="宋体" w:eastAsia="宋体" w:cs="Times New Roman"/>
          <w:color w:val="000000"/>
          <w:kern w:val="2"/>
          <w:sz w:val="24"/>
          <w:szCs w:val="24"/>
          <w:lang w:val="zh-CN" w:eastAsia="zh-CN" w:bidi="ar-SA"/>
        </w:rPr>
      </w:pPr>
      <w:r>
        <w:rPr>
          <w:rFonts w:hint="eastAsia" w:ascii="宋体" w:hAnsi="宋体" w:eastAsia="宋体" w:cs="Times New Roman"/>
          <w:color w:val="000000"/>
          <w:kern w:val="2"/>
          <w:sz w:val="24"/>
          <w:szCs w:val="24"/>
          <w:lang w:val="zh-CN" w:eastAsia="zh-CN" w:bidi="ar-SA"/>
        </w:rPr>
        <w:t>（</w:t>
      </w:r>
      <w:r>
        <w:rPr>
          <w:rFonts w:hint="eastAsia" w:ascii="宋体" w:hAnsi="宋体" w:eastAsia="宋体" w:cs="Times New Roman"/>
          <w:color w:val="000000"/>
          <w:kern w:val="2"/>
          <w:sz w:val="24"/>
          <w:szCs w:val="24"/>
          <w:lang w:val="en-US" w:eastAsia="zh-CN" w:bidi="ar-SA"/>
        </w:rPr>
        <w:t>4</w:t>
      </w:r>
      <w:r>
        <w:rPr>
          <w:rFonts w:hint="eastAsia" w:ascii="宋体" w:hAnsi="宋体" w:eastAsia="宋体" w:cs="Times New Roman"/>
          <w:color w:val="000000"/>
          <w:kern w:val="2"/>
          <w:sz w:val="24"/>
          <w:szCs w:val="24"/>
          <w:lang w:val="zh-CN" w:eastAsia="zh-CN" w:bidi="ar-SA"/>
        </w:rPr>
        <w:t>）检查灯光开关控制器模块输出信号状态及测量数据状态。</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7.</w:t>
      </w:r>
      <w:r>
        <w:rPr>
          <w:rFonts w:hint="eastAsia" w:ascii="宋体" w:hAnsi="宋体" w:eastAsia="宋体" w:cs="Times New Roman"/>
          <w:color w:val="000000"/>
          <w:kern w:val="2"/>
          <w:sz w:val="24"/>
          <w:szCs w:val="24"/>
          <w:lang w:val="en-US" w:eastAsia="zh-CN" w:bidi="ar-SA"/>
        </w:rPr>
        <w:t>▲理论培训</w:t>
      </w:r>
    </w:p>
    <w:p>
      <w:pPr>
        <w:spacing w:line="360" w:lineRule="auto"/>
        <w:ind w:firstLine="480" w:firstLineChars="200"/>
        <w:jc w:val="left"/>
        <w:rPr>
          <w:rFonts w:hint="eastAsia" w:ascii="宋体" w:hAnsi="宋体"/>
          <w:b/>
          <w:color w:val="000000"/>
          <w:sz w:val="24"/>
          <w:szCs w:val="24"/>
        </w:rPr>
      </w:pPr>
      <w:r>
        <w:rPr>
          <w:rFonts w:hint="eastAsia" w:ascii="宋体" w:hAnsi="宋体" w:eastAsia="宋体" w:cs="Times New Roman"/>
          <w:color w:val="000000"/>
          <w:kern w:val="2"/>
          <w:sz w:val="24"/>
          <w:szCs w:val="24"/>
          <w:lang w:val="zh-CN" w:eastAsia="zh-CN" w:bidi="ar-SA"/>
        </w:rPr>
        <w:t>投标方在提供维护保养的同时，需提供专业技术的培训服务，培训内容包括弱电自控的运行原理，基本操作和维护保养说明和常见问题应急解决方案，培训为一年一次。</w:t>
      </w:r>
    </w:p>
    <w:p>
      <w:pPr>
        <w:pStyle w:val="5"/>
        <w:bidi w:val="0"/>
        <w:rPr>
          <w:rFonts w:hint="default"/>
          <w:lang w:val="en-US" w:eastAsia="zh-CN"/>
        </w:rPr>
      </w:pPr>
      <w:bookmarkStart w:id="16" w:name="_Toc25426"/>
      <w:r>
        <w:rPr>
          <w:rFonts w:hint="eastAsia"/>
          <w:lang w:val="en-US" w:eastAsia="zh-CN"/>
        </w:rPr>
        <w:t>2.2 商务要求</w:t>
      </w:r>
      <w:bookmarkEnd w:id="16"/>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000000"/>
          <w:sz w:val="24"/>
          <w:szCs w:val="24"/>
          <w:lang w:val="en-US" w:eastAsia="zh-CN"/>
        </w:rPr>
      </w:pPr>
      <w:r>
        <w:rPr>
          <w:rFonts w:hint="eastAsia" w:ascii="宋体" w:hAnsi="宋体"/>
          <w:b/>
          <w:color w:val="000000"/>
          <w:sz w:val="24"/>
          <w:szCs w:val="24"/>
          <w:lang w:val="en-US" w:eastAsia="zh-CN"/>
        </w:rPr>
        <w:t>2.2.1 服务地点： 广东财经大学广州校区</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color w:val="000000"/>
          <w:sz w:val="24"/>
          <w:szCs w:val="24"/>
          <w:lang w:val="en-US" w:eastAsia="zh-CN"/>
        </w:rPr>
      </w:pPr>
      <w:r>
        <w:rPr>
          <w:rFonts w:hint="eastAsia" w:ascii="宋体" w:hAnsi="宋体"/>
          <w:b/>
          <w:color w:val="000000"/>
          <w:sz w:val="24"/>
          <w:szCs w:val="24"/>
          <w:lang w:val="en-US" w:eastAsia="zh-CN"/>
        </w:rPr>
        <w:t>2.2.2 履约保证金：</w:t>
      </w:r>
    </w:p>
    <w:p>
      <w:pPr>
        <w:spacing w:line="360" w:lineRule="auto"/>
        <w:ind w:firstLine="480" w:firstLineChars="200"/>
        <w:jc w:val="left"/>
        <w:rPr>
          <w:rFonts w:hint="eastAsia" w:ascii="宋体" w:hAnsi="宋体"/>
          <w:b/>
          <w:color w:val="000000"/>
          <w:sz w:val="24"/>
          <w:szCs w:val="24"/>
        </w:rPr>
      </w:pPr>
      <w:r>
        <w:rPr>
          <w:rFonts w:hint="eastAsia" w:ascii="宋体" w:hAnsi="宋体" w:eastAsia="宋体" w:cs="Times New Roman"/>
          <w:color w:val="000000"/>
          <w:kern w:val="2"/>
          <w:sz w:val="24"/>
          <w:szCs w:val="24"/>
          <w:lang w:val="en-US" w:eastAsia="zh-CN" w:bidi="ar-SA"/>
        </w:rPr>
        <w:t>中标人在双方签订合同后10个工作日内，以支票或银行转账的方式向采购人提交履约保证金。履约保证金额为1万元。若中标人在合同期限内无违约行为或致采购人利益受损行为的，则履约保证金在合同有效期满后15个工作日内由采购人无息退还。</w:t>
      </w:r>
    </w:p>
    <w:p>
      <w:pPr>
        <w:pStyle w:val="2"/>
        <w:rPr>
          <w:rFonts w:hint="default" w:ascii="宋体" w:hAnsi="宋体" w:eastAsia="宋体"/>
          <w:b/>
          <w:color w:val="000000"/>
          <w:sz w:val="24"/>
          <w:szCs w:val="24"/>
          <w:lang w:val="en-US" w:eastAsia="zh-CN"/>
        </w:rPr>
      </w:pPr>
      <w:r>
        <w:rPr>
          <w:rFonts w:hint="eastAsia" w:ascii="宋体" w:hAnsi="宋体"/>
          <w:b/>
          <w:color w:val="000000"/>
          <w:sz w:val="24"/>
          <w:szCs w:val="24"/>
          <w:lang w:val="en-US" w:eastAsia="zh-CN"/>
        </w:rPr>
        <w:t>2.2.3 结算与付款方式：</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1.合同签订后，每半年支付一次，每次支付年度维保合同总额的50%。供应商需提供合法等额增值税发票给采购人。</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2.如遇节假日或学校寒暑假期，支付时间相应顺延，具体以学校财务部门办理时限为准。</w:t>
      </w:r>
    </w:p>
    <w:p>
      <w:pPr>
        <w:pStyle w:val="2"/>
        <w:rPr>
          <w:rFonts w:hint="default" w:ascii="宋体" w:hAnsi="宋体"/>
          <w:b/>
          <w:color w:val="000000"/>
          <w:sz w:val="24"/>
          <w:szCs w:val="24"/>
          <w:lang w:val="en-US" w:eastAsia="zh-CN"/>
        </w:rPr>
      </w:pPr>
      <w:r>
        <w:rPr>
          <w:rFonts w:hint="eastAsia" w:ascii="宋体" w:hAnsi="宋体"/>
          <w:b/>
          <w:color w:val="000000"/>
          <w:sz w:val="24"/>
          <w:szCs w:val="24"/>
          <w:lang w:val="en-US" w:eastAsia="zh-CN"/>
        </w:rPr>
        <w:t>2.2.4 违约责任：</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1.如中标人维保工作不能达到本项目维护保养服务内容及要求及国家相关规定的标准，采购人有权终止合同并没收全部履约保证金。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2.如中标人应急抢修服务响应时间不能达到合同要求，扣除履约保证金2000元/次；如三次不能达到合同要求，采购人有权终止合同并没收全部履约保证金。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3.如中标人实施保养维护时违反操作安全规程，玩忽职守，造成事故或设备损坏的，中标人应承担全部赔偿责任，采购人有权终止合同并没收全部履约保证金。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4.如中标人采取欺瞒手段，欺骗采购人更换设备的，中标人应承担全部赔偿责任，采购人有权终止合同并没收全部履约保证金。</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5.如中标人采购的设备（配件）以次充好、属于不合格产品，给采购人造成的一切后果及损失，由中标人承担责任和负责赔偿，采购人有权终止合同和没收全部履约保证金，并追究供应商相关法律责任。</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6.如中标人员工出现违法、违纪、违规行为，给采购人造成的一切后果及损失，由中标人承担责任和负责赔偿，采购人有权终止合同和没收全部履约保证金，并追究供应商相关法律责任。</w:t>
      </w:r>
    </w:p>
    <w:p>
      <w:pPr>
        <w:spacing w:line="360" w:lineRule="auto"/>
        <w:ind w:firstLine="480" w:firstLineChars="200"/>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7.维保合同期末，供应商必须无条件配合采购人做好移交工作。</w:t>
      </w:r>
    </w:p>
    <w:p>
      <w:pPr>
        <w:spacing w:line="360" w:lineRule="auto"/>
        <w:ind w:firstLine="320" w:firstLineChars="100"/>
        <w:rPr>
          <w:rFonts w:ascii="仿宋" w:hAnsi="仿宋" w:eastAsia="仿宋" w:cs="Times New Roman"/>
          <w:sz w:val="32"/>
          <w:szCs w:val="32"/>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p>
      <w:pPr>
        <w:pStyle w:val="2"/>
        <w:ind w:left="0" w:leftChars="0" w:firstLine="0" w:firstLineChars="0"/>
        <w:rPr>
          <w:rFonts w:hint="eastAsia" w:ascii="宋体" w:hAnsi="宋体"/>
          <w:b/>
          <w:color w:val="000000"/>
          <w:szCs w:val="21"/>
        </w:rPr>
      </w:pPr>
    </w:p>
    <w:bookmarkEnd w:id="11"/>
    <w:bookmarkEnd w:id="12"/>
    <w:bookmarkEnd w:id="13"/>
    <w:bookmarkEnd w:id="14"/>
    <w:bookmarkEnd w:id="15"/>
    <w:p>
      <w:pPr>
        <w:pStyle w:val="3"/>
        <w:bidi w:val="0"/>
      </w:pPr>
      <w:bookmarkStart w:id="17" w:name="_Toc20990"/>
      <w:r>
        <w:rPr>
          <w:rFonts w:hint="eastAsia"/>
        </w:rPr>
        <w:t>第三部分  投标人须知</w:t>
      </w:r>
      <w:bookmarkEnd w:id="17"/>
    </w:p>
    <w:p>
      <w:pPr>
        <w:pStyle w:val="5"/>
        <w:numPr>
          <w:ilvl w:val="0"/>
          <w:numId w:val="4"/>
        </w:numPr>
        <w:bidi w:val="0"/>
      </w:pPr>
      <w:bookmarkStart w:id="18" w:name="_Toc298325851"/>
      <w:bookmarkStart w:id="19" w:name="_Toc275435949"/>
      <w:bookmarkStart w:id="20" w:name="_Toc3261"/>
      <w:r>
        <w:rPr>
          <w:rFonts w:hint="eastAsia"/>
        </w:rPr>
        <w:t>说明</w:t>
      </w:r>
      <w:bookmarkEnd w:id="18"/>
      <w:bookmarkEnd w:id="19"/>
      <w:bookmarkEnd w:id="20"/>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适用范围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本招标文件仅适用于本次招标中所叙述的报价范围。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除特别说明外，本招标文件均适用所有子包（如有的话）。</w:t>
      </w:r>
    </w:p>
    <w:p>
      <w:pPr>
        <w:spacing w:line="400" w:lineRule="exact"/>
        <w:ind w:left="0" w:leftChars="0" w:firstLine="839" w:firstLineChars="36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本招标文件的解释权归广东财经大学所有。</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定义</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“招标人”、“采购人”、“买方”、“甲方”、“学校”、“校方”、“我校”“业主”、“用户”均指广东财经大学，合同的一方当事人。</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“投标人”、“报价人”、“供应商”是指参与本项目竞争的法人。</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“中标人”、“成交人”、“卖方”、“乙方”是指经法定程序确定并授予合同的投标人，合同的一方当事人。</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“货物”是指投标人须向招标人提供</w:t>
      </w:r>
      <w:r>
        <w:rPr>
          <w:rFonts w:hint="eastAsia" w:asciiTheme="minorEastAsia" w:hAnsiTheme="minorEastAsia" w:eastAsiaTheme="minorEastAsia"/>
          <w:snapToGrid w:val="0"/>
          <w:color w:val="000000"/>
          <w:kern w:val="0"/>
          <w:sz w:val="23"/>
          <w:szCs w:val="23"/>
        </w:rPr>
        <w:t>符合国家有关标准并满足招标文件规定</w:t>
      </w:r>
      <w:r>
        <w:rPr>
          <w:rFonts w:hint="eastAsia" w:asciiTheme="minorEastAsia" w:hAnsiTheme="minorEastAsia" w:eastAsiaTheme="minorEastAsia"/>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6"/>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合格投标人</w:t>
      </w:r>
    </w:p>
    <w:p>
      <w:pPr>
        <w:spacing w:line="360" w:lineRule="auto"/>
        <w:ind w:left="1836" w:leftChars="436" w:hanging="920" w:hanging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3.1.3.1投标人须具有独立法人资格，持有相关部门核发的经营证照（复印件加盖公章）；</w:t>
      </w:r>
    </w:p>
    <w:p>
      <w:pPr>
        <w:spacing w:line="360" w:lineRule="auto"/>
        <w:ind w:left="1836" w:leftChars="436" w:hanging="920" w:hangingChars="400"/>
        <w:rPr>
          <w:rFonts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2</w:t>
      </w:r>
      <w:r>
        <w:rPr>
          <w:rFonts w:hint="eastAsia" w:asciiTheme="minorEastAsia" w:hAnsiTheme="minorEastAsia" w:eastAsiaTheme="minorEastAsia"/>
          <w:color w:val="auto"/>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ind w:firstLine="920" w:firstLine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3</w:t>
      </w:r>
      <w:r>
        <w:rPr>
          <w:rFonts w:hint="eastAsia" w:asciiTheme="minorEastAsia" w:hAnsiTheme="minorEastAsia" w:eastAsiaTheme="minorEastAsia"/>
          <w:color w:val="auto"/>
          <w:sz w:val="23"/>
          <w:szCs w:val="23"/>
        </w:rPr>
        <w:t>必须具有对公银行账户（投标时提供证明文件，并加盖投标人公章）</w:t>
      </w:r>
    </w:p>
    <w:p>
      <w:pPr>
        <w:spacing w:line="360" w:lineRule="auto"/>
        <w:ind w:firstLine="920" w:firstLine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lang w:val="en-US" w:eastAsia="zh-CN"/>
        </w:rPr>
        <w:t>3.1.3.4</w:t>
      </w:r>
      <w:r>
        <w:rPr>
          <w:rFonts w:hint="eastAsia" w:asciiTheme="minorEastAsia" w:hAnsiTheme="minorEastAsia" w:eastAsiaTheme="minorEastAsia"/>
          <w:color w:val="auto"/>
          <w:sz w:val="23"/>
          <w:szCs w:val="23"/>
        </w:rPr>
        <w:t>本项目招标不接受联合体投标。</w:t>
      </w:r>
    </w:p>
    <w:p/>
    <w:p>
      <w:pPr>
        <w:pStyle w:val="5"/>
        <w:numPr>
          <w:ilvl w:val="0"/>
          <w:numId w:val="7"/>
        </w:numPr>
        <w:tabs>
          <w:tab w:val="left" w:pos="0"/>
        </w:tabs>
        <w:bidi w:val="0"/>
      </w:pPr>
      <w:bookmarkStart w:id="21" w:name="_Toc324769693"/>
      <w:bookmarkStart w:id="22" w:name="_Toc275435950"/>
      <w:bookmarkStart w:id="23" w:name="_Toc5163"/>
      <w:r>
        <w:rPr>
          <w:rFonts w:hint="eastAsia"/>
        </w:rPr>
        <w:t>招标文件</w:t>
      </w:r>
      <w:bookmarkEnd w:id="21"/>
      <w:bookmarkEnd w:id="22"/>
      <w:bookmarkEnd w:id="23"/>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招标文件的构成</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投标邀请函。</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项目内容及需求。</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投标人须知。</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评标办法及标准</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合同格式及主要条款。</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投标文件格式。</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招标文件的澄清、修改及补充等其他文件。</w:t>
      </w:r>
    </w:p>
    <w:p>
      <w:pPr>
        <w:pStyle w:val="5"/>
        <w:numPr>
          <w:ilvl w:val="0"/>
          <w:numId w:val="7"/>
        </w:numPr>
        <w:tabs>
          <w:tab w:val="left" w:pos="0"/>
        </w:tabs>
        <w:bidi w:val="0"/>
      </w:pPr>
      <w:bookmarkStart w:id="24" w:name="_Toc13076"/>
      <w:bookmarkStart w:id="25" w:name="_Toc324769694"/>
      <w:bookmarkStart w:id="26" w:name="_Toc275435951"/>
      <w:r>
        <w:rPr>
          <w:rFonts w:hint="eastAsia"/>
        </w:rPr>
        <w:t>投标文件</w:t>
      </w:r>
      <w:bookmarkEnd w:id="24"/>
      <w:bookmarkEnd w:id="25"/>
      <w:bookmarkEnd w:id="26"/>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投标文件的构成</w:t>
      </w:r>
    </w:p>
    <w:p>
      <w:pPr>
        <w:spacing w:line="400" w:lineRule="exact"/>
        <w:ind w:left="120" w:leftChars="57" w:firstLine="448" w:firstLineChars="19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3.3.1.1投标函。</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3.3.1.2价格文件。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3.3.1.3技术或服务文件。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3.3.1.5承诺书。</w:t>
      </w:r>
    </w:p>
    <w:p>
      <w:pPr>
        <w:widowControl/>
        <w:spacing w:line="360" w:lineRule="auto"/>
        <w:rPr>
          <w:rFonts w:asciiTheme="minorEastAsia" w:hAnsiTheme="minorEastAsia"/>
          <w:color w:val="auto"/>
          <w:sz w:val="23"/>
          <w:szCs w:val="23"/>
        </w:rPr>
      </w:pPr>
      <w:r>
        <w:rPr>
          <w:rFonts w:hint="eastAsia" w:asciiTheme="minorEastAsia" w:hAnsiTheme="minorEastAsia" w:eastAsiaTheme="minorEastAsia"/>
          <w:color w:val="000000"/>
          <w:sz w:val="23"/>
          <w:szCs w:val="23"/>
        </w:rPr>
        <w:t>3.3.1.6投标资格文件</w:t>
      </w:r>
      <w:r>
        <w:rPr>
          <w:rFonts w:hint="eastAsia" w:asciiTheme="minorEastAsia" w:hAnsiTheme="minorEastAsia" w:eastAsiaTheme="minorEastAsia"/>
          <w:color w:val="auto"/>
          <w:sz w:val="23"/>
          <w:szCs w:val="23"/>
        </w:rPr>
        <w:t>（包括：</w:t>
      </w:r>
      <w:r>
        <w:rPr>
          <w:rFonts w:hint="eastAsia" w:ascii="宋体"/>
          <w:color w:val="auto"/>
          <w:sz w:val="23"/>
          <w:szCs w:val="23"/>
        </w:rPr>
        <w:t>合格投标人资格证明文件、</w:t>
      </w:r>
      <w:r>
        <w:rPr>
          <w:rFonts w:hint="eastAsia" w:ascii="宋体" w:hAnsi="宋体"/>
          <w:color w:val="auto"/>
          <w:sz w:val="23"/>
          <w:szCs w:val="23"/>
        </w:rPr>
        <w:t>法定代表人证明书、授权委托书、投标人认为有必要提供的其他</w:t>
      </w:r>
      <w:r>
        <w:rPr>
          <w:rFonts w:hint="eastAsia" w:ascii="宋体"/>
          <w:color w:val="auto"/>
          <w:sz w:val="23"/>
          <w:szCs w:val="23"/>
        </w:rPr>
        <w:t>资质证书、</w:t>
      </w:r>
      <w:r>
        <w:rPr>
          <w:rFonts w:hint="eastAsia" w:ascii="宋体" w:hAnsi="宋体"/>
          <w:color w:val="auto"/>
          <w:sz w:val="23"/>
          <w:szCs w:val="23"/>
        </w:rPr>
        <w:t>材料）</w:t>
      </w:r>
    </w:p>
    <w:p>
      <w:pPr>
        <w:spacing w:line="400" w:lineRule="exact"/>
        <w:ind w:firstLine="572" w:firstLineChars="249"/>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以上文件相关格式、内容及要求请见招标文件第六部分。</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投标文件的编制</w:t>
      </w:r>
    </w:p>
    <w:p>
      <w:pPr>
        <w:tabs>
          <w:tab w:val="left" w:pos="0"/>
        </w:tabs>
        <w:spacing w:line="400" w:lineRule="exact"/>
        <w:ind w:left="805" w:hanging="805" w:hangingChars="350"/>
        <w:rPr>
          <w:rFonts w:asciiTheme="minorEastAsia" w:hAnsiTheme="minorEastAsia" w:eastAsiaTheme="minorEastAsia"/>
          <w:color w:val="000000"/>
          <w:sz w:val="23"/>
          <w:szCs w:val="23"/>
        </w:rPr>
      </w:pPr>
      <w:r>
        <w:rPr>
          <w:rFonts w:hint="eastAsia" w:cs="MS Shell Dlg" w:asciiTheme="minorEastAsia" w:hAnsiTheme="minorEastAsia" w:eastAsiaTheme="minorEastAsia"/>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投标文件的装订与签署</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3.3.4.4因投标文件装订质量或不可抗力事件而造成的一切后果，招标人概不承担责任。</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投标文件的密封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3.3.5.2信封或封套均应按以下要求清晰标记：</w:t>
      </w:r>
    </w:p>
    <w:tbl>
      <w:tblPr>
        <w:tblStyle w:val="43"/>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广东财经大学后勤处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3.3.5.4信封或封套未按上述要求密封和加写标记的，造成投标文件涉密、误投或过早启封，招标人概不负责。</w:t>
      </w:r>
    </w:p>
    <w:p>
      <w:pPr>
        <w:numPr>
          <w:ilvl w:val="0"/>
          <w:numId w:val="10"/>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Theme="minorEastAsia" w:hAnsiTheme="minorEastAsia" w:eastAsiaTheme="minorEastAsia"/>
          <w:color w:val="000000"/>
          <w:sz w:val="23"/>
          <w:szCs w:val="23"/>
        </w:rPr>
        <w:t>3.3.6.1投标人应当在招标文件要求递</w:t>
      </w:r>
      <w:r>
        <w:rPr>
          <w:rFonts w:hint="eastAsia" w:ascii="宋体" w:hAnsi="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10"/>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color w:val="000000"/>
          <w:sz w:val="23"/>
          <w:szCs w:val="23"/>
        </w:rPr>
      </w:pPr>
      <w:r>
        <w:rPr>
          <w:rFonts w:hint="eastAsia" w:ascii="宋体" w:hAnsi="宋体"/>
          <w:color w:val="000000"/>
          <w:sz w:val="23"/>
          <w:szCs w:val="23"/>
        </w:rPr>
        <w:t>3.3.7.3中标人未能按招标文件要求与招标人签订合同。</w:t>
      </w:r>
    </w:p>
    <w:p>
      <w:pPr>
        <w:pStyle w:val="3"/>
        <w:bidi w:val="0"/>
        <w:rPr>
          <w:color w:val="000000"/>
          <w:sz w:val="23"/>
          <w:szCs w:val="23"/>
        </w:rPr>
      </w:pPr>
      <w:bookmarkStart w:id="27" w:name="_Toc25131"/>
      <w:bookmarkStart w:id="28" w:name="_Toc298325866"/>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bookmarkEnd w:id="27"/>
      <w:bookmarkEnd w:id="28"/>
    </w:p>
    <w:p>
      <w:pPr>
        <w:pStyle w:val="5"/>
        <w:numPr>
          <w:ilvl w:val="0"/>
          <w:numId w:val="11"/>
        </w:numPr>
        <w:bidi w:val="0"/>
      </w:pPr>
      <w:bookmarkStart w:id="29" w:name="_Toc279072807"/>
      <w:bookmarkStart w:id="30" w:name="_Toc28444"/>
      <w:bookmarkStart w:id="31" w:name="_Toc298325867"/>
      <w:r>
        <w:rPr>
          <w:rFonts w:hint="eastAsia"/>
        </w:rPr>
        <w:t>评标方法</w:t>
      </w:r>
      <w:bookmarkEnd w:id="29"/>
      <w:bookmarkEnd w:id="30"/>
      <w:bookmarkEnd w:id="31"/>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4.1.1 本次评标采用</w:t>
      </w:r>
      <w:r>
        <w:rPr>
          <w:rFonts w:hint="eastAsia" w:ascii="宋体" w:hAnsi="宋体"/>
          <w:b/>
          <w:bCs/>
          <w:color w:val="000000"/>
          <w:sz w:val="24"/>
          <w:szCs w:val="24"/>
          <w:u w:val="single"/>
          <w:lang w:val="en-US" w:eastAsia="zh-CN"/>
        </w:rPr>
        <w:t>综合评分法</w:t>
      </w:r>
      <w:r>
        <w:rPr>
          <w:rFonts w:hint="eastAsia" w:ascii="宋体" w:hAnsi="宋体"/>
          <w:b/>
          <w:bCs/>
          <w:color w:val="000000"/>
          <w:sz w:val="24"/>
          <w:szCs w:val="24"/>
          <w:u w:val="single"/>
        </w:rPr>
        <w:t xml:space="preserve"> </w:t>
      </w:r>
      <w:r>
        <w:rPr>
          <w:rFonts w:hint="eastAsia" w:ascii="宋体" w:hAnsi="宋体"/>
          <w:b/>
          <w:bCs/>
          <w:color w:val="000000"/>
          <w:sz w:val="24"/>
          <w:szCs w:val="24"/>
          <w:u w:val="none"/>
          <w:lang w:eastAsia="zh-CN"/>
        </w:rPr>
        <w:t>，</w:t>
      </w:r>
      <w:r>
        <w:rPr>
          <w:rFonts w:hint="eastAsia" w:ascii="宋体" w:hAnsi="宋体"/>
          <w:color w:val="000000"/>
          <w:sz w:val="24"/>
          <w:szCs w:val="24"/>
          <w:lang w:val="en-US" w:eastAsia="zh-CN"/>
        </w:rPr>
        <w:t>即在最大限度地满足招标文件实质性要求的前提下，按照招标文件中规定的各项因素进行综合评审后，以评标总得分最高的投标人作为中标候选人。</w:t>
      </w:r>
    </w:p>
    <w:p>
      <w:pPr>
        <w:pStyle w:val="5"/>
        <w:bidi w:val="0"/>
        <w:rPr>
          <w:rFonts w:hint="eastAsia"/>
          <w:lang w:val="en-US" w:eastAsia="zh-CN"/>
        </w:rPr>
      </w:pPr>
      <w:bookmarkStart w:id="32" w:name="_Toc154"/>
      <w:r>
        <w:rPr>
          <w:rFonts w:hint="eastAsia"/>
          <w:lang w:val="en-US" w:eastAsia="zh-CN"/>
        </w:rPr>
        <w:t>4.2  资格性审查</w:t>
      </w:r>
      <w:bookmarkEnd w:id="32"/>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详见资格性审查表    （附表一）。</w:t>
      </w:r>
    </w:p>
    <w:p>
      <w:pPr>
        <w:pStyle w:val="5"/>
        <w:bidi w:val="0"/>
        <w:rPr>
          <w:rFonts w:hint="eastAsia"/>
          <w:lang w:val="en-US" w:eastAsia="zh-CN"/>
        </w:rPr>
      </w:pPr>
      <w:bookmarkStart w:id="33" w:name="_Toc20060"/>
      <w:r>
        <w:rPr>
          <w:rFonts w:hint="eastAsia"/>
          <w:lang w:val="en-US" w:eastAsia="zh-CN"/>
        </w:rPr>
        <w:t>4.3  权重分配表</w:t>
      </w:r>
      <w:bookmarkEnd w:id="33"/>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详见权重分配表      （附表二）。</w:t>
      </w:r>
    </w:p>
    <w:p>
      <w:pPr>
        <w:pStyle w:val="5"/>
        <w:bidi w:val="0"/>
        <w:rPr>
          <w:rFonts w:hint="default"/>
          <w:lang w:val="en-US" w:eastAsia="zh-CN"/>
        </w:rPr>
      </w:pPr>
      <w:bookmarkStart w:id="34" w:name="_Toc7376"/>
      <w:r>
        <w:rPr>
          <w:rFonts w:hint="eastAsia"/>
          <w:lang w:val="en-US" w:eastAsia="zh-CN"/>
        </w:rPr>
        <w:t>4.4  评标标准</w:t>
      </w:r>
      <w:bookmarkEnd w:id="34"/>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w:t>
      </w:r>
      <w:r>
        <w:rPr>
          <w:rFonts w:hint="eastAsia" w:ascii="宋体" w:hAnsi="宋体" w:cs="Times New Roman"/>
          <w:color w:val="000000"/>
          <w:kern w:val="2"/>
          <w:sz w:val="24"/>
          <w:szCs w:val="24"/>
          <w:lang w:val="en-US" w:eastAsia="zh-CN" w:bidi="ar-SA"/>
        </w:rPr>
        <w:t>价格评分标准：详见《价格评分表》  （附表三）。</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商务评分标准：详见《商务评分表》  （附表四）。</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w:t>
      </w:r>
      <w:r>
        <w:rPr>
          <w:rFonts w:hint="eastAsia" w:ascii="宋体" w:hAnsi="宋体" w:cs="Times New Roman"/>
          <w:color w:val="000000"/>
          <w:kern w:val="2"/>
          <w:sz w:val="24"/>
          <w:szCs w:val="24"/>
          <w:lang w:val="en-US" w:eastAsia="zh-CN" w:bidi="ar-SA"/>
        </w:rPr>
        <w:t>技术评分标准：详见《技术评分表》  （附表五）。</w:t>
      </w:r>
    </w:p>
    <w:p>
      <w:pPr>
        <w:spacing w:line="360" w:lineRule="auto"/>
        <w:jc w:val="left"/>
        <w:rPr>
          <w:rFonts w:hint="eastAsia" w:ascii="宋体" w:hAnsi="宋体" w:eastAsia="宋体" w:cs="Times New Roman"/>
          <w:color w:val="000000"/>
          <w:kern w:val="2"/>
          <w:sz w:val="21"/>
          <w:szCs w:val="21"/>
          <w:lang w:val="en-US" w:eastAsia="zh-CN" w:bidi="ar-SA"/>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3"/>
        <w:spacing w:before="0" w:after="0" w:line="240" w:lineRule="auto"/>
        <w:jc w:val="both"/>
        <w:rPr>
          <w:rFonts w:hint="eastAsia" w:ascii="宋体" w:hAnsi="宋体"/>
          <w:color w:val="000000"/>
          <w:sz w:val="28"/>
          <w:szCs w:val="23"/>
          <w:lang w:val="en-US" w:eastAsia="zh-CN"/>
        </w:rPr>
        <w:sectPr>
          <w:footerReference r:id="rId13" w:type="first"/>
          <w:footerReference r:id="rId12"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p>
    <w:p>
      <w:pPr>
        <w:bidi w:val="0"/>
        <w:jc w:val="left"/>
        <w:rPr>
          <w:rFonts w:ascii="宋体" w:hAnsi="宋体"/>
          <w:color w:val="000000"/>
          <w:sz w:val="23"/>
          <w:szCs w:val="23"/>
        </w:rPr>
      </w:pPr>
      <w:r>
        <w:rPr>
          <w:rFonts w:hint="eastAsia"/>
          <w:b/>
          <w:bCs/>
          <w:sz w:val="28"/>
          <w:szCs w:val="28"/>
          <w:lang w:val="en-US" w:eastAsia="zh-CN"/>
        </w:rPr>
        <w:t xml:space="preserve">附表一：                 </w:t>
      </w:r>
      <w:r>
        <w:rPr>
          <w:rFonts w:hint="eastAsia" w:ascii="宋体" w:hAnsi="宋体"/>
          <w:b/>
          <w:bCs/>
          <w:color w:val="000000"/>
          <w:sz w:val="28"/>
          <w:szCs w:val="28"/>
        </w:rPr>
        <w:t>资格性审查表</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4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w:t>
            </w:r>
            <w:r>
              <w:rPr>
                <w:rFonts w:hint="eastAsia" w:ascii="宋体" w:hAnsi="宋体"/>
                <w:sz w:val="23"/>
                <w:szCs w:val="23"/>
                <w:lang w:val="en-US" w:eastAsia="zh-CN"/>
              </w:rPr>
              <w:t xml:space="preserve"> </w:t>
            </w:r>
            <w:r>
              <w:rPr>
                <w:rFonts w:hint="eastAsia" w:ascii="宋体" w:hAnsi="宋体"/>
                <w:b/>
                <w:bCs/>
                <w:sz w:val="23"/>
                <w:szCs w:val="23"/>
                <w:lang w:eastAsia="zh-CN"/>
              </w:rPr>
              <w:t>（</w:t>
            </w:r>
            <w:r>
              <w:rPr>
                <w:rFonts w:hint="eastAsia" w:ascii="宋体" w:hAnsi="宋体"/>
                <w:b/>
                <w:bCs/>
                <w:sz w:val="23"/>
                <w:szCs w:val="23"/>
                <w:lang w:val="en-US" w:eastAsia="zh-CN"/>
              </w:rPr>
              <w:t>一</w:t>
            </w:r>
            <w:r>
              <w:rPr>
                <w:rFonts w:hint="eastAsia" w:ascii="宋体" w:hAnsi="宋体"/>
                <w:b/>
                <w:bCs/>
                <w:sz w:val="23"/>
                <w:szCs w:val="23"/>
                <w:lang w:eastAsia="zh-CN"/>
              </w:rPr>
              <w:t>）</w:t>
            </w:r>
            <w:r>
              <w:rPr>
                <w:rFonts w:hint="eastAsia" w:ascii="宋体" w:hAnsi="宋体"/>
                <w:b/>
                <w:bCs/>
                <w:sz w:val="23"/>
                <w:szCs w:val="23"/>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144"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144" w:type="dxa"/>
            <w:vAlign w:val="center"/>
          </w:tcPr>
          <w:p>
            <w:pPr>
              <w:adjustRightInd w:val="0"/>
              <w:snapToGrid w:val="0"/>
              <w:rPr>
                <w:rFonts w:hint="eastAsia" w:ascii="宋体" w:hAnsi="宋体" w:eastAsia="宋体"/>
                <w:color w:val="FF0000"/>
                <w:sz w:val="23"/>
                <w:szCs w:val="23"/>
                <w:lang w:eastAsia="zh-CN"/>
              </w:rPr>
            </w:pPr>
            <w:r>
              <w:rPr>
                <w:rFonts w:hint="eastAsia" w:ascii="宋体" w:hAnsi="宋体"/>
                <w:color w:val="auto"/>
                <w:sz w:val="23"/>
                <w:szCs w:val="23"/>
              </w:rPr>
              <w:t>投标人须具有独立法人资格，持有相关部门核发的经营证照</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6" w:type="dxa"/>
            <w:vAlign w:val="center"/>
          </w:tcPr>
          <w:p>
            <w:pPr>
              <w:spacing w:line="0" w:lineRule="atLeast"/>
              <w:jc w:val="center"/>
              <w:rPr>
                <w:rFonts w:hint="eastAsia" w:ascii="宋体" w:hAnsi="宋体" w:eastAsia="宋体"/>
                <w:sz w:val="23"/>
                <w:szCs w:val="23"/>
                <w:lang w:eastAsia="zh-CN"/>
              </w:rPr>
            </w:pPr>
            <w:r>
              <w:rPr>
                <w:rFonts w:hint="eastAsia" w:ascii="宋体" w:hAnsi="宋体"/>
                <w:sz w:val="23"/>
                <w:szCs w:val="23"/>
                <w:lang w:val="en-US" w:eastAsia="zh-CN"/>
              </w:rPr>
              <w:t>2</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rPr>
              <w:t>投标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投标人在投标时需提供相关证明资料）。</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eastAsia="宋体"/>
                <w:sz w:val="23"/>
                <w:szCs w:val="23"/>
                <w:lang w:val="en-US" w:eastAsia="zh-CN"/>
              </w:rPr>
            </w:pPr>
            <w:r>
              <w:rPr>
                <w:rFonts w:hint="eastAsia" w:ascii="宋体" w:hAnsi="宋体"/>
                <w:sz w:val="23"/>
                <w:szCs w:val="23"/>
                <w:lang w:val="en-US" w:eastAsia="zh-CN"/>
              </w:rPr>
              <w:t>3</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rPr>
              <w:t>必须具有对公银行账户（投标时提供证明文件，并加盖投标人公章）。</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4</w:t>
            </w:r>
          </w:p>
        </w:tc>
        <w:tc>
          <w:tcPr>
            <w:tcW w:w="8144" w:type="dxa"/>
            <w:vAlign w:val="center"/>
          </w:tcPr>
          <w:p>
            <w:pPr>
              <w:adjustRightInd w:val="0"/>
              <w:snapToGrid w:val="0"/>
              <w:rPr>
                <w:rFonts w:hint="eastAsia" w:ascii="宋体" w:hAnsi="宋体"/>
                <w:color w:val="auto"/>
                <w:sz w:val="23"/>
                <w:szCs w:val="23"/>
              </w:rPr>
            </w:pPr>
            <w:r>
              <w:rPr>
                <w:rFonts w:hint="eastAsia" w:ascii="宋体" w:hAnsi="宋体"/>
                <w:color w:val="auto"/>
                <w:sz w:val="23"/>
                <w:szCs w:val="23"/>
                <w:lang w:val="en-US" w:eastAsia="zh-CN"/>
              </w:rPr>
              <w:t>法定代表人证明书</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5</w:t>
            </w:r>
          </w:p>
        </w:tc>
        <w:tc>
          <w:tcPr>
            <w:tcW w:w="8144" w:type="dxa"/>
            <w:vAlign w:val="center"/>
          </w:tcPr>
          <w:p>
            <w:pPr>
              <w:adjustRightInd w:val="0"/>
              <w:snapToGrid w:val="0"/>
              <w:rPr>
                <w:rFonts w:hint="eastAsia" w:ascii="宋体" w:hAnsi="宋体"/>
                <w:color w:val="auto"/>
                <w:sz w:val="23"/>
                <w:szCs w:val="23"/>
              </w:rPr>
            </w:pPr>
            <w:r>
              <w:rPr>
                <w:rFonts w:hint="eastAsia" w:ascii="宋体" w:hAnsi="宋体" w:eastAsia="宋体" w:cs="宋体"/>
                <w:color w:val="auto"/>
                <w:sz w:val="24"/>
                <w:szCs w:val="24"/>
                <w:lang w:val="en-US" w:eastAsia="zh-CN"/>
              </w:rPr>
              <w:t>授权委托书</w:t>
            </w:r>
            <w:r>
              <w:rPr>
                <w:rFonts w:hint="eastAsia" w:ascii="宋体" w:hAnsi="宋体" w:cs="宋体"/>
                <w:color w:val="auto"/>
                <w:sz w:val="24"/>
                <w:szCs w:val="24"/>
                <w:lang w:val="en-US" w:eastAsia="zh-CN"/>
              </w:rPr>
              <w:t>（非法人投标时提供）</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sz w:val="23"/>
                <w:szCs w:val="23"/>
                <w:lang w:val="en-US" w:eastAsia="zh-CN"/>
              </w:rPr>
            </w:pPr>
            <w:r>
              <w:rPr>
                <w:rFonts w:hint="eastAsia" w:ascii="宋体" w:hAnsi="宋体"/>
                <w:sz w:val="23"/>
                <w:szCs w:val="23"/>
                <w:lang w:val="en-US" w:eastAsia="zh-CN"/>
              </w:rPr>
              <w:t>6</w:t>
            </w:r>
          </w:p>
        </w:tc>
        <w:tc>
          <w:tcPr>
            <w:tcW w:w="8144" w:type="dxa"/>
            <w:vAlign w:val="center"/>
          </w:tcPr>
          <w:p>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法人身份证原件及复印件1份（法人投标时）</w:t>
            </w:r>
          </w:p>
          <w:p>
            <w:pPr>
              <w:adjustRightInd w:val="0"/>
              <w:snapToGrid w:val="0"/>
              <w:ind w:firstLine="1920" w:firstLineChars="8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p>
          <w:p>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被委托人身份证原件和复印件1份及法人身份证复印件1份（非法人投标时）</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eastAsia="宋体" w:cs="Times New Roman"/>
                <w:kern w:val="2"/>
                <w:sz w:val="23"/>
                <w:szCs w:val="23"/>
                <w:lang w:val="en-US" w:eastAsia="zh-CN" w:bidi="ar-SA"/>
              </w:rPr>
            </w:pPr>
            <w:r>
              <w:rPr>
                <w:rFonts w:hint="eastAsia" w:ascii="宋体" w:hAnsi="宋体" w:cs="Times New Roman"/>
                <w:kern w:val="2"/>
                <w:sz w:val="23"/>
                <w:szCs w:val="23"/>
                <w:lang w:val="en-US" w:eastAsia="zh-CN" w:bidi="ar-SA"/>
              </w:rPr>
              <w:t>7</w:t>
            </w:r>
          </w:p>
        </w:tc>
        <w:tc>
          <w:tcPr>
            <w:tcW w:w="8144" w:type="dxa"/>
            <w:vAlign w:val="center"/>
          </w:tcPr>
          <w:p>
            <w:pPr>
              <w:adjustRightInd w:val="0"/>
              <w:snapToGrid w:val="0"/>
              <w:rPr>
                <w:rFonts w:hint="eastAsia" w:ascii="宋体" w:hAnsi="宋体" w:eastAsia="宋体" w:cs="Times New Roman"/>
                <w:color w:val="auto"/>
                <w:kern w:val="2"/>
                <w:sz w:val="23"/>
                <w:szCs w:val="23"/>
                <w:lang w:val="en-US" w:eastAsia="zh-CN" w:bidi="ar-SA"/>
              </w:rPr>
            </w:pPr>
            <w:r>
              <w:rPr>
                <w:rFonts w:hint="eastAsia" w:ascii="宋体" w:hAnsi="宋体"/>
                <w:color w:val="auto"/>
                <w:sz w:val="23"/>
                <w:szCs w:val="23"/>
              </w:rPr>
              <w:t>本项目不接受联合体投标。</w:t>
            </w:r>
            <w:r>
              <w:rPr>
                <w:rFonts w:hint="eastAsia" w:ascii="宋体" w:hAnsi="宋体"/>
                <w:color w:val="auto"/>
                <w:sz w:val="23"/>
                <w:szCs w:val="23"/>
                <w:lang w:eastAsia="zh-CN"/>
              </w:rPr>
              <w:t>（</w:t>
            </w:r>
            <w:r>
              <w:rPr>
                <w:rFonts w:hint="eastAsia" w:ascii="宋体" w:hAnsi="宋体"/>
                <w:color w:val="auto"/>
                <w:sz w:val="23"/>
                <w:szCs w:val="23"/>
                <w:lang w:val="en-US" w:eastAsia="zh-CN"/>
              </w:rPr>
              <w:t>模板见第37页6.6声明</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80" w:type="dxa"/>
            <w:gridSpan w:val="2"/>
            <w:vAlign w:val="center"/>
          </w:tcPr>
          <w:p>
            <w:pPr>
              <w:adjustRightInd w:val="0"/>
              <w:snapToGrid w:val="0"/>
              <w:ind w:firstLine="231" w:firstLineChars="100"/>
              <w:rPr>
                <w:rFonts w:hint="default" w:ascii="宋体" w:hAnsi="宋体" w:eastAsia="宋体"/>
                <w:color w:val="auto"/>
                <w:sz w:val="23"/>
                <w:szCs w:val="23"/>
                <w:lang w:val="en-US" w:eastAsia="zh-CN"/>
              </w:rPr>
            </w:pPr>
            <w:r>
              <w:rPr>
                <w:rFonts w:hint="eastAsia" w:ascii="宋体" w:hAnsi="宋体"/>
                <w:b/>
                <w:bCs/>
                <w:color w:val="auto"/>
                <w:sz w:val="23"/>
                <w:szCs w:val="23"/>
                <w:lang w:eastAsia="zh-CN"/>
              </w:rPr>
              <w:t>（</w:t>
            </w:r>
            <w:r>
              <w:rPr>
                <w:rFonts w:hint="eastAsia" w:ascii="宋体" w:hAnsi="宋体"/>
                <w:b/>
                <w:bCs/>
                <w:color w:val="auto"/>
                <w:sz w:val="23"/>
                <w:szCs w:val="23"/>
                <w:lang w:val="en-US" w:eastAsia="zh-CN"/>
              </w:rPr>
              <w:t>二</w:t>
            </w:r>
            <w:r>
              <w:rPr>
                <w:rFonts w:hint="eastAsia" w:ascii="宋体" w:hAnsi="宋体"/>
                <w:b/>
                <w:bCs/>
                <w:color w:val="auto"/>
                <w:sz w:val="23"/>
                <w:szCs w:val="23"/>
                <w:lang w:eastAsia="zh-CN"/>
              </w:rPr>
              <w:t>）</w:t>
            </w:r>
            <w:r>
              <w:rPr>
                <w:rFonts w:hint="eastAsia" w:ascii="宋体" w:hAnsi="宋体"/>
                <w:b/>
                <w:bCs/>
                <w:color w:val="auto"/>
                <w:sz w:val="23"/>
                <w:szCs w:val="23"/>
                <w:lang w:val="en-US" w:eastAsia="zh-CN"/>
              </w:rPr>
              <w:t>符合性审查</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sz w:val="23"/>
                <w:szCs w:val="23"/>
                <w:lang w:val="en-US" w:eastAsia="zh-CN"/>
              </w:rPr>
            </w:pPr>
            <w:r>
              <w:rPr>
                <w:rFonts w:hint="eastAsia" w:ascii="宋体" w:hAnsi="宋体"/>
                <w:b/>
                <w:color w:val="000000"/>
                <w:sz w:val="24"/>
              </w:rPr>
              <w:t>序号</w:t>
            </w:r>
          </w:p>
        </w:tc>
        <w:tc>
          <w:tcPr>
            <w:tcW w:w="8144" w:type="dxa"/>
            <w:vAlign w:val="center"/>
          </w:tcPr>
          <w:p>
            <w:pPr>
              <w:spacing w:line="0" w:lineRule="atLeast"/>
              <w:jc w:val="center"/>
              <w:rPr>
                <w:rFonts w:hint="eastAsia" w:ascii="宋体" w:hAnsi="宋体" w:eastAsia="宋体" w:cs="Times New Roman"/>
                <w:color w:val="000000"/>
                <w:kern w:val="2"/>
                <w:sz w:val="21"/>
                <w:szCs w:val="21"/>
                <w:lang w:val="en-US" w:eastAsia="zh-CN" w:bidi="ar-SA"/>
              </w:rPr>
            </w:pPr>
            <w:r>
              <w:rPr>
                <w:rFonts w:hint="eastAsia" w:ascii="宋体" w:hAnsi="宋体"/>
                <w:b/>
                <w:color w:val="000000"/>
                <w:sz w:val="24"/>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b/>
                <w:color w:val="000000"/>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1</w:t>
            </w:r>
          </w:p>
        </w:tc>
        <w:tc>
          <w:tcPr>
            <w:tcW w:w="8144" w:type="dxa"/>
            <w:vAlign w:val="center"/>
          </w:tcPr>
          <w:p>
            <w:pPr>
              <w:adjustRightInd w:val="0"/>
              <w:snapToGrid w:val="0"/>
              <w:rPr>
                <w:rFonts w:hint="eastAsia" w:ascii="宋体" w:hAnsi="宋体"/>
                <w:color w:val="auto"/>
                <w:sz w:val="23"/>
                <w:szCs w:val="23"/>
              </w:rPr>
            </w:pPr>
            <w:r>
              <w:rPr>
                <w:rFonts w:hint="eastAsia" w:ascii="宋体" w:hAnsi="宋体"/>
                <w:color w:val="auto"/>
                <w:sz w:val="23"/>
                <w:szCs w:val="23"/>
                <w:lang w:val="en-US" w:eastAsia="zh-CN"/>
              </w:rPr>
              <w:t>在合同期内，采购人有可能更换、大修或少量新增广州校区图书馆弱电系统设施设备，更换、大修及新增后的设施设备仍然属于本项目弱电系统设备设施维保服务范围内，不论各类弱电设备设施的规格型号是否变化、数量是否增加，均不再增加额外维保费用，各投标人自行测算报价时应充分考虑相关因素。</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2</w:t>
            </w:r>
          </w:p>
        </w:tc>
        <w:tc>
          <w:tcPr>
            <w:tcW w:w="8144" w:type="dxa"/>
            <w:vAlign w:val="center"/>
          </w:tcPr>
          <w:p>
            <w:pPr>
              <w:adjustRightInd w:val="0"/>
              <w:snapToGrid w:val="0"/>
              <w:rPr>
                <w:rFonts w:hint="eastAsia" w:ascii="宋体" w:hAnsi="宋体"/>
                <w:color w:val="auto"/>
                <w:sz w:val="23"/>
                <w:szCs w:val="23"/>
              </w:rPr>
            </w:pPr>
            <w:r>
              <w:rPr>
                <w:rFonts w:hint="eastAsia" w:ascii="宋体" w:hAnsi="宋体"/>
                <w:color w:val="auto"/>
                <w:sz w:val="23"/>
                <w:szCs w:val="23"/>
                <w:lang w:val="en-US" w:eastAsia="zh-CN"/>
              </w:rPr>
              <w:t>对出现的设备故障，由供应商编制维修方案和费用预算，采购人审核同意后，单次维修200元（含）以内的设备材料费由供应商承担和由供应商免费安装。单次维修200元以上的设备材料和安装费可采用议价的方式向供应商采购，也可由采购人负责提供，由供应商安装调试，安装费采用议价形式确定，议价方式根据《后勤处采购管理实施办法》，双方就采购的项目价格、服务、要求进行商议。</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80" w:type="dxa"/>
            <w:gridSpan w:val="2"/>
            <w:vAlign w:val="center"/>
          </w:tcPr>
          <w:p>
            <w:pPr>
              <w:snapToGrid w:val="0"/>
              <w:spacing w:beforeLines="25" w:afterLines="25"/>
              <w:jc w:val="right"/>
              <w:rPr>
                <w:rFonts w:ascii="宋体" w:hAnsi="宋体"/>
                <w:sz w:val="23"/>
                <w:szCs w:val="23"/>
              </w:rPr>
            </w:pPr>
            <w:r>
              <w:rPr>
                <w:rFonts w:hint="eastAsia" w:ascii="宋体" w:hAnsi="宋体"/>
                <w:sz w:val="23"/>
                <w:szCs w:val="23"/>
              </w:rPr>
              <w:t>结论</w:t>
            </w:r>
          </w:p>
        </w:tc>
        <w:tc>
          <w:tcPr>
            <w:tcW w:w="829"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rPr>
          <w:rFonts w:hint="eastAsia"/>
          <w:b/>
          <w:bCs/>
          <w:sz w:val="28"/>
          <w:szCs w:val="28"/>
          <w:lang w:val="en-US" w:eastAsia="zh-CN"/>
        </w:rPr>
      </w:pPr>
      <w:r>
        <w:rPr>
          <w:rFonts w:hint="eastAsia"/>
          <w:b/>
          <w:bCs/>
          <w:sz w:val="28"/>
          <w:szCs w:val="28"/>
          <w:lang w:val="en-US" w:eastAsia="zh-CN"/>
        </w:rPr>
        <w:t>附表二：</w:t>
      </w:r>
    </w:p>
    <w:p>
      <w:pPr>
        <w:bidi w:val="0"/>
        <w:jc w:val="center"/>
        <w:rPr>
          <w:rFonts w:hint="eastAsia"/>
          <w:b/>
          <w:bCs/>
          <w:sz w:val="28"/>
          <w:szCs w:val="28"/>
          <w:lang w:val="en-US" w:eastAsia="zh-CN"/>
        </w:rPr>
      </w:pPr>
      <w:r>
        <w:rPr>
          <w:rFonts w:hint="eastAsia"/>
          <w:b/>
          <w:bCs/>
          <w:sz w:val="28"/>
          <w:szCs w:val="28"/>
          <w:lang w:val="en-US" w:eastAsia="zh-CN"/>
        </w:rPr>
        <w:t>权重分配表</w:t>
      </w:r>
    </w:p>
    <w:p>
      <w:pPr>
        <w:rPr>
          <w:rFonts w:hint="eastAsia"/>
          <w:lang w:val="en-US" w:eastAsia="zh-CN"/>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eastAsia" w:ascii="宋体" w:hAnsi="宋体"/>
                <w:b/>
                <w:bCs/>
                <w:color w:val="000000"/>
                <w:sz w:val="23"/>
                <w:szCs w:val="23"/>
                <w:lang w:val="en-US" w:eastAsia="zh-CN"/>
              </w:rPr>
            </w:pPr>
            <w:r>
              <w:rPr>
                <w:rFonts w:hint="eastAsia" w:ascii="宋体" w:hAnsi="宋体"/>
                <w:b/>
                <w:bCs/>
                <w:color w:val="000000"/>
                <w:sz w:val="23"/>
                <w:szCs w:val="23"/>
                <w:lang w:val="en-US" w:eastAsia="zh-CN"/>
              </w:rPr>
              <w:t>评分项目</w:t>
            </w:r>
          </w:p>
          <w:p>
            <w:pPr>
              <w:jc w:val="center"/>
              <w:rPr>
                <w:rFonts w:hint="default" w:ascii="宋体" w:hAnsi="宋体"/>
                <w:b/>
                <w:bCs/>
                <w:color w:val="000000"/>
                <w:sz w:val="23"/>
                <w:szCs w:val="23"/>
                <w:lang w:val="en-US" w:eastAsia="zh-CN"/>
              </w:rPr>
            </w:pPr>
          </w:p>
        </w:tc>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商务评分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技术评分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权重（%）</w:t>
            </w:r>
          </w:p>
          <w:p>
            <w:pPr>
              <w:pStyle w:val="2"/>
              <w:jc w:val="center"/>
              <w:rPr>
                <w:rFonts w:hint="eastAsia" w:ascii="宋体" w:hAnsi="宋体" w:eastAsia="宋体" w:cs="宋体"/>
                <w:sz w:val="24"/>
                <w:szCs w:val="24"/>
                <w:vertAlign w:val="baseline"/>
                <w:lang w:val="en-US" w:eastAsia="zh-CN"/>
              </w:rPr>
            </w:pPr>
          </w:p>
        </w:tc>
        <w:tc>
          <w:tcPr>
            <w:tcW w:w="22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p>
            <w:pPr>
              <w:jc w:val="center"/>
              <w:rPr>
                <w:rFonts w:hint="default" w:ascii="宋体" w:hAnsi="宋体" w:eastAsia="宋体" w:cs="宋体"/>
                <w:sz w:val="24"/>
                <w:szCs w:val="24"/>
                <w:lang w:val="en-US" w:eastAsia="zh-CN"/>
              </w:rPr>
            </w:pPr>
          </w:p>
        </w:tc>
        <w:tc>
          <w:tcPr>
            <w:tcW w:w="222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r>
    </w:tbl>
    <w:p>
      <w:pPr>
        <w:rPr>
          <w:rFonts w:hint="default"/>
          <w:lang w:val="en-US" w:eastAsia="zh-CN"/>
        </w:rPr>
      </w:pP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注：满分为100分，即三项得分之和权重为100%。</w:t>
      </w: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snapToGrid w:val="0"/>
        <w:rPr>
          <w:rFonts w:hint="eastAsia" w:ascii="宋体" w:hAnsi="Arial" w:eastAsia="宋体"/>
          <w:b/>
          <w:color w:val="000000"/>
          <w:sz w:val="28"/>
          <w:szCs w:val="28"/>
          <w:lang w:eastAsia="zh-CN"/>
        </w:rPr>
      </w:pPr>
      <w:r>
        <w:rPr>
          <w:rFonts w:hint="eastAsia" w:ascii="宋体" w:hAnsi="Arial"/>
          <w:b/>
          <w:color w:val="000000"/>
          <w:sz w:val="28"/>
          <w:szCs w:val="28"/>
        </w:rPr>
        <w:t>附表三</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p>
    <w:p>
      <w:pPr>
        <w:pStyle w:val="2"/>
        <w:rPr>
          <w:rFonts w:hint="eastAsia"/>
        </w:rPr>
      </w:pPr>
    </w:p>
    <w:p>
      <w:pPr>
        <w:snapToGrid w:val="0"/>
        <w:jc w:val="center"/>
        <w:rPr>
          <w:rFonts w:ascii="宋体" w:hAnsi="Arial"/>
          <w:b/>
          <w:color w:val="000000"/>
          <w:sz w:val="28"/>
          <w:szCs w:val="28"/>
        </w:rPr>
      </w:pPr>
      <w:r>
        <w:rPr>
          <w:rFonts w:hint="eastAsia" w:ascii="宋体" w:hAnsi="Arial"/>
          <w:b/>
          <w:color w:val="000000"/>
          <w:sz w:val="28"/>
          <w:szCs w:val="28"/>
        </w:rPr>
        <w:t>价格评分表</w:t>
      </w:r>
    </w:p>
    <w:p>
      <w:pPr>
        <w:snapToGrid w:val="0"/>
        <w:jc w:val="center"/>
        <w:rPr>
          <w:rFonts w:ascii="宋体" w:hAnsi="Arial"/>
          <w:b/>
          <w:color w:val="000000"/>
          <w:sz w:val="28"/>
          <w:szCs w:val="28"/>
        </w:rPr>
      </w:pPr>
    </w:p>
    <w:tbl>
      <w:tblPr>
        <w:tblStyle w:val="43"/>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769"/>
        <w:gridCol w:w="9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0" w:hRule="atLeast"/>
          <w:jc w:val="center"/>
        </w:trPr>
        <w:tc>
          <w:tcPr>
            <w:tcW w:w="7769" w:type="dxa"/>
            <w:shd w:val="clear" w:color="auto" w:fill="C0C0C0"/>
            <w:noWrap w:val="0"/>
            <w:vAlign w:val="center"/>
          </w:tcPr>
          <w:p>
            <w:pPr>
              <w:spacing w:line="0" w:lineRule="atLeast"/>
              <w:jc w:val="center"/>
              <w:rPr>
                <w:rFonts w:ascii="宋体" w:hAnsi="宋体"/>
                <w:b/>
                <w:color w:val="000000"/>
                <w:sz w:val="24"/>
              </w:rPr>
            </w:pPr>
            <w:r>
              <w:rPr>
                <w:rFonts w:hint="eastAsia" w:ascii="宋体" w:hAnsi="宋体"/>
                <w:b/>
                <w:color w:val="000000"/>
                <w:sz w:val="24"/>
              </w:rPr>
              <w:t>评分标准</w:t>
            </w:r>
          </w:p>
        </w:tc>
        <w:tc>
          <w:tcPr>
            <w:tcW w:w="998" w:type="dxa"/>
            <w:shd w:val="clear" w:color="auto" w:fill="C0C0C0"/>
            <w:noWrap w:val="0"/>
            <w:vAlign w:val="center"/>
          </w:tcPr>
          <w:p>
            <w:pPr>
              <w:spacing w:line="0" w:lineRule="atLeast"/>
              <w:jc w:val="center"/>
              <w:rPr>
                <w:rFonts w:ascii="宋体" w:hAnsi="宋体"/>
                <w:b/>
                <w:bCs/>
                <w:color w:val="000000"/>
                <w:sz w:val="24"/>
              </w:rPr>
            </w:pPr>
            <w:r>
              <w:rPr>
                <w:rFonts w:hint="eastAsia" w:ascii="宋体" w:hAnsi="宋体"/>
                <w:b/>
                <w:bCs/>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7769" w:type="dxa"/>
            <w:noWrap w:val="0"/>
            <w:vAlign w:val="center"/>
          </w:tcPr>
          <w:p>
            <w:pPr>
              <w:pStyle w:val="20"/>
              <w:spacing w:line="300" w:lineRule="auto"/>
              <w:ind w:firstLine="0"/>
              <w:rPr>
                <w:color w:val="000000"/>
                <w:kern w:val="2"/>
                <w:lang w:val="en-US" w:eastAsia="zh-CN"/>
              </w:rPr>
            </w:pPr>
            <w:r>
              <w:rPr>
                <w:rFonts w:hint="eastAsia"/>
                <w:color w:val="000000"/>
                <w:kern w:val="2"/>
                <w:lang w:val="en-US" w:eastAsia="zh-CN"/>
              </w:rPr>
              <w:t>1、价格评审满分为20分，为客观计算得分。</w:t>
            </w:r>
          </w:p>
          <w:p>
            <w:pPr>
              <w:pStyle w:val="20"/>
              <w:spacing w:line="300" w:lineRule="auto"/>
              <w:ind w:firstLine="0"/>
              <w:rPr>
                <w:color w:val="000000"/>
                <w:kern w:val="2"/>
                <w:lang w:val="en-US" w:eastAsia="zh-CN"/>
              </w:rPr>
            </w:pPr>
            <w:r>
              <w:rPr>
                <w:rFonts w:hint="eastAsia"/>
                <w:color w:val="000000"/>
                <w:kern w:val="2"/>
                <w:lang w:val="en-US" w:eastAsia="zh-CN"/>
              </w:rPr>
              <w:t>2、以所有通过资格性与符合性审查的投标人的投标总价作为评审的依据，投标人价格得分评分方法如下：</w:t>
            </w:r>
          </w:p>
          <w:p>
            <w:pPr>
              <w:pStyle w:val="20"/>
              <w:spacing w:line="300" w:lineRule="auto"/>
              <w:ind w:firstLine="540" w:firstLineChars="225"/>
              <w:rPr>
                <w:color w:val="000000"/>
                <w:kern w:val="2"/>
                <w:lang w:val="en-US" w:eastAsia="zh-CN"/>
              </w:rPr>
            </w:pPr>
            <w:r>
              <w:rPr>
                <w:rFonts w:hint="eastAsia"/>
                <w:color w:val="000000"/>
                <w:kern w:val="2"/>
                <w:lang w:val="en-US" w:eastAsia="zh-CN"/>
              </w:rPr>
              <w:t>评标基准价＝实质性</w:t>
            </w:r>
            <w:r>
              <w:rPr>
                <w:rFonts w:cs="宋体"/>
                <w:color w:val="000000"/>
                <w:lang w:val="en-US" w:eastAsia="zh-CN"/>
              </w:rPr>
              <w:t>满足招标文件要求且投标价格最低的投标</w:t>
            </w:r>
            <w:r>
              <w:rPr>
                <w:rFonts w:hint="eastAsia" w:cs="宋体"/>
                <w:color w:val="000000"/>
                <w:lang w:val="en-US" w:eastAsia="zh-CN"/>
              </w:rPr>
              <w:t>总</w:t>
            </w:r>
            <w:r>
              <w:rPr>
                <w:rFonts w:cs="宋体"/>
                <w:color w:val="000000"/>
                <w:lang w:val="en-US" w:eastAsia="zh-CN"/>
              </w:rPr>
              <w:t>价</w:t>
            </w:r>
            <w:r>
              <w:rPr>
                <w:rFonts w:hint="eastAsia" w:cs="宋体"/>
                <w:color w:val="000000"/>
                <w:lang w:val="en-US" w:eastAsia="zh-CN"/>
              </w:rPr>
              <w:t>；</w:t>
            </w:r>
          </w:p>
          <w:p>
            <w:pPr>
              <w:ind w:firstLine="482" w:firstLineChars="200"/>
              <w:jc w:val="center"/>
              <w:rPr>
                <w:rFonts w:ascii="宋体" w:hAnsi="宋体"/>
                <w:b/>
                <w:color w:val="000000"/>
                <w:sz w:val="24"/>
              </w:rPr>
            </w:pPr>
            <w:r>
              <w:rPr>
                <w:rFonts w:hint="eastAsia" w:ascii="宋体" w:hAnsi="宋体"/>
                <w:b/>
                <w:color w:val="000000"/>
                <w:sz w:val="24"/>
              </w:rPr>
              <w:t>投标人价格得分＝</w:t>
            </w:r>
            <w:r>
              <w:rPr>
                <w:rFonts w:ascii="宋体" w:hAnsi="宋体"/>
                <w:b/>
                <w:color w:val="000000"/>
                <w:sz w:val="24"/>
              </w:rPr>
              <w:fldChar w:fldCharType="begin"/>
            </w:r>
            <w:r>
              <w:rPr>
                <w:rFonts w:ascii="宋体" w:hAnsi="宋体"/>
                <w:b/>
                <w:color w:val="000000"/>
                <w:sz w:val="24"/>
              </w:rPr>
              <w:instrText xml:space="preserve"> EQ \F(</w:instrText>
            </w:r>
            <w:r>
              <w:rPr>
                <w:rFonts w:hint="eastAsia" w:ascii="宋体" w:hAnsi="宋体"/>
                <w:b/>
                <w:color w:val="000000"/>
                <w:sz w:val="24"/>
              </w:rPr>
              <w:instrText xml:space="preserve">评标基准价</w:instrText>
            </w:r>
            <w:r>
              <w:rPr>
                <w:rFonts w:ascii="宋体" w:hAnsi="宋体"/>
                <w:b/>
                <w:color w:val="000000"/>
                <w:sz w:val="24"/>
              </w:rPr>
              <w:instrText xml:space="preserve">,</w:instrText>
            </w:r>
            <w:r>
              <w:rPr>
                <w:rFonts w:hint="eastAsia" w:ascii="宋体" w:hAnsi="宋体"/>
                <w:b/>
                <w:color w:val="000000"/>
                <w:sz w:val="24"/>
              </w:rPr>
              <w:instrText xml:space="preserve">投标总价</w:instrText>
            </w:r>
            <w:r>
              <w:rPr>
                <w:rFonts w:ascii="宋体" w:hAnsi="宋体"/>
                <w:b/>
                <w:color w:val="000000"/>
                <w:sz w:val="24"/>
              </w:rPr>
              <w:instrText xml:space="preserve">)</w:instrText>
            </w:r>
            <w:r>
              <w:rPr>
                <w:rFonts w:ascii="宋体" w:hAnsi="宋体"/>
                <w:b/>
                <w:color w:val="000000"/>
                <w:sz w:val="24"/>
              </w:rPr>
              <w:fldChar w:fldCharType="end"/>
            </w:r>
            <w:r>
              <w:rPr>
                <w:rFonts w:hint="eastAsia" w:ascii="宋体" w:hAnsi="宋体"/>
                <w:b/>
                <w:color w:val="000000"/>
                <w:sz w:val="24"/>
              </w:rPr>
              <w:t>×2</w:t>
            </w:r>
            <w:r>
              <w:rPr>
                <w:rFonts w:hint="eastAsia" w:ascii="宋体" w:hAnsi="宋体"/>
                <w:b/>
                <w:color w:val="000000"/>
                <w:sz w:val="24"/>
                <w:lang w:val="en-US" w:eastAsia="zh-CN"/>
              </w:rPr>
              <w:t>0</w:t>
            </w:r>
            <w:r>
              <w:rPr>
                <w:rFonts w:hint="eastAsia" w:ascii="宋体" w:hAnsi="宋体"/>
                <w:b/>
                <w:color w:val="000000"/>
                <w:sz w:val="24"/>
              </w:rPr>
              <w:t>。</w:t>
            </w:r>
          </w:p>
        </w:tc>
        <w:tc>
          <w:tcPr>
            <w:tcW w:w="998"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rPr>
              <w:t>2</w:t>
            </w:r>
            <w:r>
              <w:rPr>
                <w:rFonts w:hint="eastAsia" w:ascii="宋体" w:hAnsi="宋体"/>
                <w:color w:val="000000"/>
                <w:sz w:val="24"/>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7769" w:type="dxa"/>
            <w:noWrap w:val="0"/>
            <w:vAlign w:val="center"/>
          </w:tcPr>
          <w:p>
            <w:pPr>
              <w:spacing w:line="400" w:lineRule="exact"/>
              <w:jc w:val="right"/>
              <w:rPr>
                <w:rFonts w:ascii="宋体" w:hAnsi="宋体"/>
                <w:color w:val="000000"/>
                <w:szCs w:val="21"/>
              </w:rPr>
            </w:pPr>
            <w:r>
              <w:rPr>
                <w:rFonts w:hint="eastAsia" w:ascii="宋体" w:hAnsi="宋体" w:cs="宋体"/>
                <w:b/>
                <w:color w:val="000000"/>
                <w:sz w:val="24"/>
                <w:lang w:val="zh-CN"/>
              </w:rPr>
              <w:t>小计</w:t>
            </w:r>
          </w:p>
        </w:tc>
        <w:tc>
          <w:tcPr>
            <w:tcW w:w="998" w:type="dxa"/>
            <w:noWrap w:val="0"/>
            <w:vAlign w:val="center"/>
          </w:tcPr>
          <w:p>
            <w:pPr>
              <w:spacing w:line="400" w:lineRule="exact"/>
              <w:jc w:val="center"/>
              <w:rPr>
                <w:rFonts w:hint="default" w:ascii="宋体" w:hAnsi="宋体" w:eastAsia="宋体"/>
                <w:b/>
                <w:color w:val="000000"/>
                <w:sz w:val="24"/>
                <w:lang w:val="en-US" w:eastAsia="zh-CN"/>
              </w:rPr>
            </w:pPr>
            <w:r>
              <w:rPr>
                <w:rFonts w:hint="eastAsia" w:ascii="宋体" w:hAnsi="宋体"/>
                <w:b/>
                <w:color w:val="000000"/>
                <w:sz w:val="24"/>
              </w:rPr>
              <w:t>2</w:t>
            </w:r>
            <w:r>
              <w:rPr>
                <w:rFonts w:hint="eastAsia" w:ascii="宋体" w:hAnsi="宋体"/>
                <w:b/>
                <w:color w:val="000000"/>
                <w:sz w:val="24"/>
                <w:lang w:val="en-US" w:eastAsia="zh-CN"/>
              </w:rPr>
              <w:t>0分</w:t>
            </w:r>
          </w:p>
        </w:tc>
      </w:tr>
    </w:tbl>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bidi w:val="0"/>
        <w:rPr>
          <w:rFonts w:hint="default"/>
          <w:b/>
          <w:bCs/>
          <w:sz w:val="28"/>
          <w:szCs w:val="28"/>
          <w:lang w:val="en-US" w:eastAsia="zh-CN"/>
        </w:rPr>
      </w:pPr>
      <w:r>
        <w:rPr>
          <w:rFonts w:hint="eastAsia"/>
          <w:b/>
          <w:bCs/>
          <w:sz w:val="28"/>
          <w:szCs w:val="28"/>
          <w:lang w:val="en-US" w:eastAsia="zh-CN"/>
        </w:rPr>
        <w:t>附表四：</w:t>
      </w:r>
    </w:p>
    <w:p>
      <w:pPr>
        <w:bidi w:val="0"/>
        <w:jc w:val="center"/>
        <w:rPr>
          <w:rFonts w:hint="eastAsia"/>
          <w:b/>
          <w:bCs/>
          <w:sz w:val="28"/>
          <w:szCs w:val="28"/>
          <w:lang w:val="en-US" w:eastAsia="zh-CN"/>
        </w:rPr>
      </w:pPr>
      <w:r>
        <w:rPr>
          <w:rFonts w:hint="eastAsia"/>
          <w:b/>
          <w:bCs/>
          <w:sz w:val="28"/>
          <w:szCs w:val="28"/>
          <w:lang w:val="en-US" w:eastAsia="zh-CN"/>
        </w:rPr>
        <w:t>商务评分表</w:t>
      </w:r>
    </w:p>
    <w:p>
      <w:pPr>
        <w:rPr>
          <w:rFonts w:hint="default"/>
          <w:lang w:val="en-US" w:eastAsia="zh-CN"/>
        </w:rPr>
      </w:pPr>
    </w:p>
    <w:tbl>
      <w:tblPr>
        <w:tblStyle w:val="44"/>
        <w:tblW w:w="999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70"/>
        <w:gridCol w:w="66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eastAsia"/>
                <w:b/>
                <w:bCs/>
                <w:sz w:val="24"/>
                <w:szCs w:val="24"/>
                <w:vertAlign w:val="baseline"/>
                <w:lang w:val="en-US" w:eastAsia="zh-CN"/>
              </w:rPr>
            </w:pPr>
            <w:r>
              <w:rPr>
                <w:rFonts w:hint="eastAsia"/>
                <w:b/>
                <w:bCs/>
                <w:sz w:val="24"/>
                <w:szCs w:val="24"/>
                <w:vertAlign w:val="baseline"/>
                <w:lang w:val="en-US" w:eastAsia="zh-CN"/>
              </w:rPr>
              <w:t>序号</w:t>
            </w:r>
          </w:p>
          <w:p>
            <w:pPr>
              <w:pStyle w:val="2"/>
              <w:ind w:left="0" w:leftChars="0" w:firstLine="0" w:firstLineChars="0"/>
              <w:jc w:val="center"/>
              <w:rPr>
                <w:rFonts w:hint="default"/>
                <w:b/>
                <w:bCs/>
                <w:sz w:val="24"/>
                <w:szCs w:val="24"/>
                <w:vertAlign w:val="baseline"/>
                <w:lang w:val="en-US" w:eastAsia="zh-CN"/>
              </w:rPr>
            </w:pPr>
          </w:p>
        </w:tc>
        <w:tc>
          <w:tcPr>
            <w:tcW w:w="1470"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评审项目</w:t>
            </w:r>
          </w:p>
        </w:tc>
        <w:tc>
          <w:tcPr>
            <w:tcW w:w="6675" w:type="dxa"/>
            <w:shd w:val="clear" w:color="auto" w:fill="9BBB59" w:themeFill="accent3"/>
          </w:tcPr>
          <w:p>
            <w:pPr>
              <w:pStyle w:val="2"/>
              <w:jc w:val="center"/>
              <w:rPr>
                <w:rFonts w:hint="eastAsia"/>
                <w:b/>
                <w:bCs/>
                <w:sz w:val="24"/>
                <w:szCs w:val="24"/>
                <w:vertAlign w:val="baseline"/>
                <w:lang w:val="en-US" w:eastAsia="zh-CN"/>
              </w:rPr>
            </w:pPr>
          </w:p>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评审细则</w:t>
            </w:r>
          </w:p>
        </w:tc>
        <w:tc>
          <w:tcPr>
            <w:tcW w:w="885" w:type="dxa"/>
            <w:shd w:val="clear" w:color="auto" w:fill="9BBB59" w:themeFill="accent3"/>
          </w:tcPr>
          <w:p>
            <w:pPr>
              <w:pStyle w:val="2"/>
              <w:ind w:left="0" w:leftChars="0" w:firstLine="0" w:firstLineChars="0"/>
              <w:jc w:val="center"/>
              <w:rPr>
                <w:rFonts w:hint="eastAsia"/>
                <w:b/>
                <w:bCs/>
                <w:sz w:val="24"/>
                <w:szCs w:val="24"/>
                <w:vertAlign w:val="baseline"/>
                <w:lang w:val="en-US" w:eastAsia="zh-CN"/>
              </w:rPr>
            </w:pPr>
          </w:p>
          <w:p>
            <w:pPr>
              <w:pStyle w:val="2"/>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70" w:type="dxa"/>
            <w:vAlign w:val="center"/>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商务响应程度</w:t>
            </w:r>
          </w:p>
        </w:tc>
        <w:tc>
          <w:tcPr>
            <w:tcW w:w="6675" w:type="dxa"/>
          </w:tcPr>
          <w:p>
            <w:pPr>
              <w:adjustRightInd w:val="0"/>
              <w:snapToGrid w:val="0"/>
              <w:rPr>
                <w:rFonts w:hint="default"/>
                <w:vertAlign w:val="baseline"/>
                <w:lang w:val="en-US" w:eastAsia="zh-CN"/>
              </w:rPr>
            </w:pPr>
            <w:r>
              <w:rPr>
                <w:rFonts w:hint="eastAsia" w:ascii="宋体" w:hAnsi="宋体"/>
                <w:color w:val="000000"/>
                <w:sz w:val="24"/>
                <w:szCs w:val="24"/>
              </w:rPr>
              <w:t>投标人对招标文件“2.</w:t>
            </w:r>
            <w:r>
              <w:rPr>
                <w:rFonts w:hint="eastAsia" w:ascii="宋体" w:hAnsi="宋体"/>
                <w:color w:val="000000"/>
                <w:sz w:val="24"/>
                <w:szCs w:val="24"/>
                <w:lang w:val="en-US" w:eastAsia="zh-CN"/>
              </w:rPr>
              <w:t>2</w:t>
            </w:r>
            <w:r>
              <w:rPr>
                <w:rFonts w:hint="eastAsia" w:ascii="宋体" w:hAnsi="宋体"/>
                <w:color w:val="000000"/>
                <w:sz w:val="24"/>
                <w:szCs w:val="24"/>
              </w:rPr>
              <w:t>商务要求”的响应程度：优于的得</w:t>
            </w:r>
            <w:r>
              <w:rPr>
                <w:rFonts w:hint="eastAsia" w:ascii="宋体" w:hAnsi="宋体"/>
                <w:color w:val="000000"/>
                <w:sz w:val="24"/>
                <w:szCs w:val="24"/>
                <w:lang w:val="en-US" w:eastAsia="zh-CN"/>
              </w:rPr>
              <w:t>6</w:t>
            </w:r>
            <w:r>
              <w:rPr>
                <w:rFonts w:hint="eastAsia" w:ascii="宋体" w:hAnsi="宋体"/>
                <w:color w:val="000000"/>
                <w:sz w:val="24"/>
                <w:szCs w:val="24"/>
              </w:rPr>
              <w:t>分；</w:t>
            </w:r>
            <w:r>
              <w:rPr>
                <w:rFonts w:hint="eastAsia" w:ascii="宋体" w:hAnsi="宋体"/>
                <w:color w:val="000000"/>
                <w:sz w:val="24"/>
                <w:szCs w:val="24"/>
                <w:lang w:val="en-US" w:eastAsia="zh-CN"/>
              </w:rPr>
              <w:t>完全满足，得4分；不满足的，得0分。</w:t>
            </w:r>
            <w:r>
              <w:rPr>
                <w:rFonts w:hint="eastAsia" w:ascii="宋体" w:hAnsi="宋体" w:cs="宋体"/>
                <w:color w:val="000000"/>
                <w:sz w:val="24"/>
                <w:szCs w:val="24"/>
              </w:rPr>
              <w:t>（提供商务要求响应表，若商务要求中有要求提供证明材料的，需提供符合要求证明材料，否则视为负偏离。）</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470" w:type="dxa"/>
            <w:vAlign w:val="center"/>
          </w:tcPr>
          <w:p>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业绩证明</w:t>
            </w:r>
          </w:p>
        </w:tc>
        <w:tc>
          <w:tcPr>
            <w:tcW w:w="6675" w:type="dxa"/>
          </w:tcPr>
          <w:p>
            <w:pPr>
              <w:adjustRightInd w:val="0"/>
              <w:snapToGrid w:val="0"/>
              <w:rPr>
                <w:rFonts w:hint="eastAsia" w:ascii="宋体" w:hAnsi="宋体"/>
                <w:color w:val="000000"/>
                <w:sz w:val="24"/>
                <w:szCs w:val="24"/>
              </w:rPr>
            </w:pPr>
            <w:r>
              <w:rPr>
                <w:rFonts w:hint="eastAsia" w:ascii="宋体" w:hAnsi="宋体"/>
                <w:color w:val="000000"/>
                <w:sz w:val="24"/>
                <w:szCs w:val="24"/>
              </w:rPr>
              <w:t>提供201</w:t>
            </w:r>
            <w:r>
              <w:rPr>
                <w:rFonts w:hint="eastAsia" w:ascii="宋体" w:hAnsi="宋体"/>
                <w:color w:val="000000"/>
                <w:sz w:val="24"/>
                <w:szCs w:val="24"/>
                <w:lang w:val="en-US" w:eastAsia="zh-CN"/>
              </w:rPr>
              <w:t>8</w:t>
            </w:r>
            <w:r>
              <w:rPr>
                <w:rFonts w:hint="eastAsia" w:ascii="宋体" w:hAnsi="宋体"/>
                <w:color w:val="000000"/>
                <w:sz w:val="24"/>
                <w:szCs w:val="24"/>
              </w:rPr>
              <w:t>年1月1日以来（以合同签订时间为准）承接过</w:t>
            </w:r>
            <w:r>
              <w:rPr>
                <w:rFonts w:hint="eastAsia" w:ascii="宋体" w:hAnsi="宋体"/>
                <w:color w:val="000000"/>
                <w:sz w:val="24"/>
                <w:szCs w:val="24"/>
                <w:lang w:val="en-US" w:eastAsia="zh-CN"/>
              </w:rPr>
              <w:t>类似弱电系统维保服务项目的</w:t>
            </w:r>
            <w:r>
              <w:rPr>
                <w:rFonts w:hint="eastAsia" w:ascii="宋体" w:hAnsi="宋体"/>
                <w:color w:val="000000"/>
                <w:sz w:val="24"/>
                <w:szCs w:val="24"/>
              </w:rPr>
              <w:t>业绩：每个业绩得2分，最多得12分，不提供不得分。</w:t>
            </w:r>
          </w:p>
          <w:p>
            <w:pPr>
              <w:adjustRightInd w:val="0"/>
              <w:snapToGrid w:val="0"/>
              <w:rPr>
                <w:rFonts w:hint="default" w:eastAsia="宋体"/>
                <w:vertAlign w:val="baseline"/>
                <w:lang w:val="en-US" w:eastAsia="zh-CN"/>
              </w:rPr>
            </w:pPr>
            <w:r>
              <w:rPr>
                <w:rFonts w:hint="eastAsia" w:ascii="宋体" w:hAnsi="宋体"/>
                <w:color w:val="000000"/>
                <w:sz w:val="24"/>
                <w:szCs w:val="24"/>
                <w:lang w:eastAsia="zh-CN"/>
              </w:rPr>
              <w:t>（</w:t>
            </w:r>
            <w:r>
              <w:rPr>
                <w:rFonts w:hint="eastAsia" w:ascii="宋体" w:hAnsi="宋体"/>
                <w:color w:val="000000"/>
                <w:sz w:val="24"/>
                <w:szCs w:val="24"/>
              </w:rPr>
              <w:t>注：投标人须提供每个业绩的合同关键页（关键页包括能够获知甲乙双方名称、</w:t>
            </w:r>
            <w:r>
              <w:rPr>
                <w:rFonts w:hint="eastAsia" w:ascii="宋体" w:hAnsi="宋体"/>
                <w:color w:val="000000"/>
                <w:sz w:val="24"/>
                <w:szCs w:val="24"/>
                <w:lang w:val="en-US" w:eastAsia="zh-CN"/>
              </w:rPr>
              <w:t>合同的内容、数量、标的、签订时间</w:t>
            </w:r>
            <w:r>
              <w:rPr>
                <w:rFonts w:hint="eastAsia" w:ascii="宋体" w:hAnsi="宋体"/>
                <w:color w:val="000000"/>
                <w:sz w:val="24"/>
                <w:szCs w:val="24"/>
              </w:rPr>
              <w:t>及签字盖章页）复印件，并加盖投标人公章，否则视为无效业绩处理</w:t>
            </w:r>
            <w:r>
              <w:rPr>
                <w:rFonts w:hint="eastAsia" w:ascii="宋体" w:hAnsi="宋体"/>
                <w:color w:val="000000"/>
                <w:sz w:val="24"/>
                <w:szCs w:val="24"/>
                <w:lang w:eastAsia="zh-CN"/>
              </w:rPr>
              <w:t>，</w:t>
            </w:r>
            <w:r>
              <w:rPr>
                <w:rFonts w:hint="eastAsia" w:ascii="宋体" w:hAnsi="宋体"/>
                <w:color w:val="000000"/>
                <w:sz w:val="24"/>
                <w:szCs w:val="24"/>
                <w:lang w:val="en-US" w:eastAsia="zh-CN"/>
              </w:rPr>
              <w:t>若难以辨认则也视为无效业绩。）</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470" w:type="dxa"/>
            <w:vAlign w:val="center"/>
          </w:tcPr>
          <w:p>
            <w:pPr>
              <w:adjustRightInd w:val="0"/>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kern w:val="2"/>
                <w:sz w:val="24"/>
                <w:szCs w:val="24"/>
                <w:vertAlign w:val="baseline"/>
                <w:lang w:val="en-US" w:eastAsia="zh-CN" w:bidi="ar-SA"/>
              </w:rPr>
              <w:t>投标人信誉</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1.质量管理体系认证证书，得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2.环境管理体系认证证书，得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3.职业健康安全管理体系认证证书，得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default"/>
                <w:vertAlign w:val="baseline"/>
                <w:lang w:val="en-US" w:eastAsia="zh-CN"/>
              </w:rPr>
            </w:pPr>
            <w:r>
              <w:rPr>
                <w:rFonts w:hint="eastAsia" w:ascii="宋体" w:hAnsi="宋体"/>
                <w:color w:val="auto"/>
                <w:sz w:val="24"/>
                <w:szCs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885" w:type="dxa"/>
            <w:vAlign w:val="center"/>
          </w:tcPr>
          <w:p>
            <w:pPr>
              <w:pStyle w:val="2"/>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
              <w:ind w:left="0" w:leftChars="0" w:firstLine="280" w:firstLineChars="100"/>
              <w:jc w:val="left"/>
              <w:rPr>
                <w:rFonts w:hint="default"/>
                <w:vertAlign w:val="baseline"/>
                <w:lang w:val="en-US" w:eastAsia="zh-CN"/>
              </w:rPr>
            </w:pPr>
            <w:r>
              <w:rPr>
                <w:rFonts w:hint="eastAsia" w:ascii="宋体" w:hAnsi="宋体" w:eastAsia="宋体" w:cs="宋体"/>
                <w:sz w:val="28"/>
                <w:szCs w:val="28"/>
                <w:vertAlign w:val="baseline"/>
                <w:lang w:val="en-US" w:eastAsia="zh-CN"/>
              </w:rPr>
              <w:t>4</w:t>
            </w:r>
          </w:p>
        </w:tc>
        <w:tc>
          <w:tcPr>
            <w:tcW w:w="1470" w:type="dxa"/>
            <w:vAlign w:val="center"/>
          </w:tcPr>
          <w:p>
            <w:pPr>
              <w:autoSpaceDE w:val="0"/>
              <w:autoSpaceDN w:val="0"/>
              <w:adjustRightInd w:val="0"/>
              <w:snapToGrid w:val="0"/>
              <w:jc w:val="center"/>
              <w:rPr>
                <w:rFonts w:hint="default"/>
                <w:sz w:val="24"/>
                <w:szCs w:val="24"/>
                <w:vertAlign w:val="baseline"/>
                <w:lang w:val="en-US" w:eastAsia="zh-CN"/>
              </w:rPr>
            </w:pPr>
            <w:r>
              <w:rPr>
                <w:rFonts w:hint="eastAsia" w:ascii="宋体" w:hAnsi="宋体" w:eastAsia="宋体" w:cs="宋体"/>
                <w:kern w:val="2"/>
                <w:sz w:val="24"/>
                <w:szCs w:val="24"/>
                <w:vertAlign w:val="baseline"/>
                <w:lang w:val="en-US" w:eastAsia="zh-CN" w:bidi="ar-SA"/>
              </w:rPr>
              <w:t>纳税信用等级</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2018年以来</w:t>
            </w:r>
            <w:r>
              <w:rPr>
                <w:rFonts w:hint="eastAsia" w:ascii="宋体" w:hAnsi="宋体"/>
                <w:color w:val="auto"/>
                <w:sz w:val="24"/>
                <w:szCs w:val="24"/>
              </w:rPr>
              <w:t>获得银行或信用评估机构颁发的信用等级证书</w:t>
            </w:r>
            <w:r>
              <w:rPr>
                <w:rFonts w:hint="eastAsia" w:ascii="宋体" w:hAnsi="宋体"/>
                <w:color w:val="auto"/>
                <w:sz w:val="24"/>
                <w:szCs w:val="24"/>
                <w:lang w:val="en-US" w:eastAsia="zh-CN"/>
              </w:rPr>
              <w:t>或荣誉称号：连续3年</w:t>
            </w:r>
            <w:r>
              <w:rPr>
                <w:rFonts w:hint="eastAsia" w:ascii="宋体" w:hAnsi="宋体"/>
                <w:color w:val="auto"/>
                <w:sz w:val="24"/>
                <w:szCs w:val="24"/>
              </w:rPr>
              <w:t>得</w:t>
            </w:r>
            <w:r>
              <w:rPr>
                <w:rFonts w:hint="eastAsia" w:ascii="宋体" w:hAnsi="宋体"/>
                <w:color w:val="auto"/>
                <w:sz w:val="24"/>
                <w:szCs w:val="24"/>
                <w:lang w:val="en-US" w:eastAsia="zh-CN"/>
              </w:rPr>
              <w:t>3</w:t>
            </w:r>
            <w:r>
              <w:rPr>
                <w:rFonts w:hint="eastAsia" w:ascii="宋体" w:hAnsi="宋体"/>
                <w:color w:val="auto"/>
                <w:sz w:val="24"/>
                <w:szCs w:val="24"/>
              </w:rPr>
              <w:t>分</w:t>
            </w:r>
            <w:r>
              <w:rPr>
                <w:rFonts w:hint="eastAsia" w:ascii="宋体" w:hAnsi="宋体"/>
                <w:color w:val="auto"/>
                <w:sz w:val="24"/>
                <w:szCs w:val="24"/>
                <w:lang w:eastAsia="zh-CN"/>
              </w:rPr>
              <w:t>；</w:t>
            </w:r>
            <w:r>
              <w:rPr>
                <w:rFonts w:hint="eastAsia" w:ascii="宋体" w:hAnsi="宋体"/>
                <w:color w:val="auto"/>
                <w:sz w:val="24"/>
                <w:szCs w:val="24"/>
                <w:lang w:val="en-US" w:eastAsia="zh-CN"/>
              </w:rPr>
              <w:t>连续2年</w:t>
            </w:r>
            <w:r>
              <w:rPr>
                <w:rFonts w:hint="eastAsia" w:ascii="宋体" w:hAnsi="宋体"/>
                <w:color w:val="auto"/>
                <w:sz w:val="24"/>
                <w:szCs w:val="24"/>
              </w:rPr>
              <w:t>得</w:t>
            </w:r>
            <w:r>
              <w:rPr>
                <w:rFonts w:hint="eastAsia" w:ascii="宋体" w:hAnsi="宋体"/>
                <w:color w:val="auto"/>
                <w:sz w:val="24"/>
                <w:szCs w:val="24"/>
                <w:lang w:val="en-US" w:eastAsia="zh-CN"/>
              </w:rPr>
              <w:t>2</w:t>
            </w:r>
            <w:r>
              <w:rPr>
                <w:rFonts w:hint="eastAsia" w:ascii="宋体" w:hAnsi="宋体"/>
                <w:color w:val="auto"/>
                <w:sz w:val="24"/>
                <w:szCs w:val="24"/>
              </w:rPr>
              <w:t>分</w:t>
            </w:r>
            <w:r>
              <w:rPr>
                <w:rFonts w:hint="eastAsia" w:ascii="宋体" w:hAnsi="宋体"/>
                <w:color w:val="auto"/>
                <w:sz w:val="24"/>
                <w:szCs w:val="24"/>
                <w:lang w:eastAsia="zh-CN"/>
              </w:rPr>
              <w:t>；</w:t>
            </w:r>
            <w:r>
              <w:rPr>
                <w:rFonts w:hint="eastAsia" w:ascii="宋体" w:hAnsi="宋体"/>
                <w:color w:val="auto"/>
                <w:sz w:val="24"/>
                <w:szCs w:val="24"/>
                <w:lang w:val="en-US" w:eastAsia="zh-CN"/>
              </w:rPr>
              <w:t>1年得1分，其他不得分。</w:t>
            </w:r>
            <w:r>
              <w:rPr>
                <w:rFonts w:hint="eastAsia" w:ascii="宋体" w:hAnsi="宋体"/>
                <w:color w:val="auto"/>
                <w:sz w:val="24"/>
                <w:szCs w:val="24"/>
              </w:rPr>
              <w:t>（注：提供有效证书复印件，并加盖投标人公章，否则不得分）。</w:t>
            </w:r>
          </w:p>
          <w:p>
            <w:pPr>
              <w:adjustRightInd w:val="0"/>
              <w:snapToGrid w:val="0"/>
              <w:rPr>
                <w:rFonts w:hint="eastAsia" w:ascii="宋体" w:hAnsi="宋体"/>
                <w:color w:val="auto"/>
                <w:sz w:val="24"/>
                <w:szCs w:val="24"/>
              </w:rPr>
            </w:pPr>
            <w:r>
              <w:rPr>
                <w:rFonts w:hint="eastAsia" w:ascii="宋体" w:hAnsi="宋体"/>
                <w:color w:val="auto"/>
                <w:sz w:val="24"/>
                <w:szCs w:val="24"/>
              </w:rPr>
              <w:t>2.投标人20</w:t>
            </w:r>
            <w:r>
              <w:rPr>
                <w:rFonts w:hint="eastAsia" w:ascii="宋体" w:hAnsi="宋体"/>
                <w:color w:val="auto"/>
                <w:sz w:val="24"/>
                <w:szCs w:val="24"/>
                <w:lang w:val="en-US" w:eastAsia="zh-CN"/>
              </w:rPr>
              <w:t>20</w:t>
            </w:r>
            <w:r>
              <w:rPr>
                <w:rFonts w:hint="eastAsia" w:ascii="宋体" w:hAnsi="宋体"/>
                <w:color w:val="auto"/>
                <w:sz w:val="24"/>
                <w:szCs w:val="24"/>
              </w:rPr>
              <w:t>年度，纳税信用等级评定为A级得</w:t>
            </w:r>
            <w:r>
              <w:rPr>
                <w:rFonts w:hint="eastAsia" w:ascii="宋体" w:hAnsi="宋体"/>
                <w:color w:val="auto"/>
                <w:sz w:val="24"/>
                <w:szCs w:val="24"/>
                <w:lang w:val="en-US" w:eastAsia="zh-CN"/>
              </w:rPr>
              <w:t>3</w:t>
            </w:r>
            <w:r>
              <w:rPr>
                <w:rFonts w:hint="eastAsia" w:ascii="宋体" w:hAnsi="宋体"/>
                <w:color w:val="auto"/>
                <w:sz w:val="24"/>
                <w:szCs w:val="24"/>
              </w:rPr>
              <w:t>分，B级的1分，C级、D级或未提供资料的不得分。新设立企业取得M级的及经营年限未达3年导致未能评定为A级的，得2分；非新设立企业取得M级的不得分。需提供税务系统查询截图等证明资料，并加盖投标人公章。属于不需要进行纳税信用等级评定的非企业组织，得2分（须提供相关政策规定及证明文件）。</w:t>
            </w:r>
          </w:p>
          <w:p>
            <w:pPr>
              <w:adjustRightInd w:val="0"/>
              <w:snapToGrid w:val="0"/>
              <w:rPr>
                <w:rFonts w:hint="default" w:ascii="宋体" w:hAnsi="宋体"/>
                <w:color w:val="000000"/>
                <w:sz w:val="21"/>
                <w:szCs w:val="21"/>
                <w:lang w:val="en-US" w:eastAsia="zh-CN"/>
              </w:rPr>
            </w:pPr>
            <w:r>
              <w:rPr>
                <w:rFonts w:hint="eastAsia" w:ascii="宋体" w:hAnsi="宋体"/>
                <w:color w:val="auto"/>
                <w:sz w:val="24"/>
                <w:szCs w:val="24"/>
              </w:rPr>
              <w:t xml:space="preserve">注：“新设立企业”指从首次在税务机关办理涉税事宜之日起时间不满一个评价年度的企业。评价年度是指公历年度，即1月1日至12月31日。 </w:t>
            </w:r>
          </w:p>
        </w:tc>
        <w:tc>
          <w:tcPr>
            <w:tcW w:w="885" w:type="dxa"/>
            <w:vAlign w:val="center"/>
          </w:tcPr>
          <w:p>
            <w:pPr>
              <w:adjustRightInd w:val="0"/>
              <w:snapToGrid w:val="0"/>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gridSpan w:val="3"/>
          </w:tcPr>
          <w:p>
            <w:pPr>
              <w:adjustRightInd w:val="0"/>
              <w:snapToGrid w:val="0"/>
              <w:jc w:val="center"/>
              <w:rPr>
                <w:rFonts w:hint="eastAsia"/>
                <w:b/>
                <w:bCs/>
                <w:sz w:val="24"/>
                <w:szCs w:val="24"/>
                <w:lang w:val="en-US" w:eastAsia="zh-CN"/>
              </w:rPr>
            </w:pPr>
          </w:p>
          <w:p>
            <w:pPr>
              <w:adjustRightInd w:val="0"/>
              <w:snapToGrid w:val="0"/>
              <w:jc w:val="right"/>
              <w:rPr>
                <w:rFonts w:hint="eastAsia"/>
                <w:b/>
                <w:bCs/>
                <w:sz w:val="24"/>
                <w:szCs w:val="24"/>
                <w:lang w:val="en-US" w:eastAsia="zh-CN"/>
              </w:rPr>
            </w:pPr>
            <w:r>
              <w:rPr>
                <w:rFonts w:hint="eastAsia"/>
                <w:b/>
                <w:bCs/>
                <w:sz w:val="24"/>
                <w:szCs w:val="24"/>
                <w:lang w:val="en-US" w:eastAsia="zh-CN"/>
              </w:rPr>
              <w:t>小计</w:t>
            </w:r>
          </w:p>
          <w:p>
            <w:pPr>
              <w:pStyle w:val="2"/>
              <w:rPr>
                <w:rFonts w:hint="eastAsia"/>
                <w:b/>
                <w:bCs/>
                <w:sz w:val="24"/>
                <w:szCs w:val="24"/>
                <w:lang w:val="en-US" w:eastAsia="zh-CN"/>
              </w:rPr>
            </w:pPr>
          </w:p>
        </w:tc>
        <w:tc>
          <w:tcPr>
            <w:tcW w:w="885" w:type="dxa"/>
            <w:vAlign w:val="center"/>
          </w:tcPr>
          <w:p>
            <w:pPr>
              <w:adjustRightInd w:val="0"/>
              <w:snapToGrid w:val="0"/>
              <w:jc w:val="center"/>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30分</w:t>
            </w:r>
          </w:p>
        </w:tc>
      </w:tr>
    </w:tbl>
    <w:p>
      <w:pPr>
        <w:widowControl/>
        <w:adjustRightInd w:val="0"/>
        <w:snapToGrid w:val="0"/>
        <w:jc w:val="left"/>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2"/>
        <w:ind w:left="0" w:leftChars="0" w:firstLine="0" w:firstLineChars="0"/>
        <w:rPr>
          <w:rFonts w:hint="default"/>
          <w:b/>
          <w:bCs/>
          <w:lang w:val="en-US" w:eastAsia="zh-CN"/>
        </w:rPr>
      </w:pPr>
    </w:p>
    <w:p>
      <w:pPr>
        <w:widowControl/>
        <w:adjustRightInd w:val="0"/>
        <w:snapToGrid w:val="0"/>
        <w:jc w:val="left"/>
        <w:rPr>
          <w:rFonts w:hint="eastAsia" w:ascii="宋体" w:hAnsi="Arial"/>
          <w:b/>
          <w:color w:val="000000"/>
          <w:sz w:val="28"/>
          <w:szCs w:val="28"/>
        </w:rPr>
      </w:pPr>
      <w:r>
        <w:rPr>
          <w:rFonts w:hint="eastAsia" w:ascii="宋体" w:hAnsi="Arial"/>
          <w:b/>
          <w:color w:val="000000"/>
          <w:sz w:val="28"/>
          <w:szCs w:val="28"/>
        </w:rPr>
        <w:t>附表五</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r>
        <w:rPr>
          <w:rFonts w:hint="eastAsia" w:ascii="宋体" w:hAnsi="Arial"/>
          <w:b/>
          <w:color w:val="000000"/>
          <w:sz w:val="28"/>
          <w:szCs w:val="28"/>
        </w:rPr>
        <w:t>技术评分表</w:t>
      </w:r>
    </w:p>
    <w:p>
      <w:pPr>
        <w:pStyle w:val="2"/>
        <w:rPr>
          <w:rFonts w:hint="eastAsia"/>
        </w:rPr>
      </w:pPr>
    </w:p>
    <w:tbl>
      <w:tblPr>
        <w:tblStyle w:val="43"/>
        <w:tblW w:w="9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1145"/>
        <w:gridCol w:w="7040"/>
        <w:gridCol w:w="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序号</w:t>
            </w:r>
          </w:p>
        </w:tc>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评分项目</w:t>
            </w:r>
          </w:p>
        </w:tc>
        <w:tc>
          <w:tcPr>
            <w:tcW w:w="0" w:type="auto"/>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评分细则</w:t>
            </w:r>
          </w:p>
        </w:tc>
        <w:tc>
          <w:tcPr>
            <w:tcW w:w="792"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1</w:t>
            </w:r>
          </w:p>
        </w:tc>
        <w:tc>
          <w:tcPr>
            <w:tcW w:w="0" w:type="auto"/>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技术响应程度</w:t>
            </w:r>
          </w:p>
        </w:tc>
        <w:tc>
          <w:tcPr>
            <w:tcW w:w="0" w:type="auto"/>
            <w:noWrap w:val="0"/>
            <w:vAlign w:val="center"/>
          </w:tcPr>
          <w:p>
            <w:pPr>
              <w:widowControl/>
              <w:adjustRightInd w:val="0"/>
              <w:snapToGrid w:val="0"/>
              <w:jc w:val="left"/>
              <w:rPr>
                <w:rFonts w:hint="default" w:ascii="宋体" w:hAnsi="宋体" w:eastAsia="宋体"/>
                <w:color w:val="000000"/>
                <w:szCs w:val="21"/>
                <w:lang w:val="en-US" w:eastAsia="zh-CN"/>
              </w:rPr>
            </w:pPr>
            <w:r>
              <w:rPr>
                <w:rFonts w:hint="eastAsia" w:ascii="宋体" w:hAnsi="宋体"/>
                <w:color w:val="000000"/>
                <w:szCs w:val="21"/>
              </w:rPr>
              <w:t>考察投标人对招标文件“2.</w:t>
            </w:r>
            <w:r>
              <w:rPr>
                <w:rFonts w:hint="eastAsia" w:ascii="宋体" w:hAnsi="宋体"/>
                <w:color w:val="000000"/>
                <w:szCs w:val="21"/>
                <w:lang w:val="en-US" w:eastAsia="zh-CN"/>
              </w:rPr>
              <w:t>1.4-2.1.7各条款</w:t>
            </w:r>
            <w:r>
              <w:rPr>
                <w:rFonts w:hint="eastAsia" w:ascii="宋体" w:hAnsi="宋体"/>
                <w:color w:val="000000"/>
                <w:szCs w:val="21"/>
              </w:rPr>
              <w:t>”的响应程度：所有条款优于的得</w:t>
            </w:r>
            <w:r>
              <w:rPr>
                <w:rFonts w:hint="eastAsia" w:ascii="宋体" w:hAnsi="宋体"/>
                <w:color w:val="000000"/>
                <w:szCs w:val="21"/>
                <w:lang w:val="en-US" w:eastAsia="zh-CN"/>
              </w:rPr>
              <w:t>12</w:t>
            </w:r>
            <w:r>
              <w:rPr>
                <w:rFonts w:hint="eastAsia" w:ascii="宋体" w:hAnsi="宋体"/>
                <w:color w:val="000000"/>
                <w:szCs w:val="21"/>
              </w:rPr>
              <w:t>分，</w:t>
            </w:r>
            <w:r>
              <w:rPr>
                <w:rFonts w:hint="eastAsia" w:ascii="宋体" w:hAnsi="宋体"/>
                <w:color w:val="000000"/>
                <w:szCs w:val="21"/>
                <w:lang w:val="en-US" w:eastAsia="zh-CN"/>
              </w:rPr>
              <w:t>完全满足的得6分；不完全满足的得0分。</w:t>
            </w:r>
          </w:p>
        </w:tc>
        <w:tc>
          <w:tcPr>
            <w:tcW w:w="792" w:type="dxa"/>
            <w:noWrap w:val="0"/>
            <w:vAlign w:val="center"/>
          </w:tcPr>
          <w:p>
            <w:pPr>
              <w:widowControl/>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vMerge w:val="restart"/>
            <w:noWrap w:val="0"/>
            <w:vAlign w:val="center"/>
          </w:tcPr>
          <w:p>
            <w:pPr>
              <w:adjustRightInd w:val="0"/>
              <w:snapToGrid w:val="0"/>
              <w:jc w:val="center"/>
              <w:rPr>
                <w:rFonts w:hint="eastAsia" w:ascii="宋体" w:hAnsi="宋体"/>
                <w:color w:val="000000"/>
                <w:szCs w:val="21"/>
              </w:rPr>
            </w:pPr>
            <w:r>
              <w:rPr>
                <w:rFonts w:hint="eastAsia" w:ascii="宋体" w:hAnsi="宋体"/>
                <w:color w:val="000000"/>
                <w:szCs w:val="21"/>
              </w:rPr>
              <w:t>2</w:t>
            </w:r>
          </w:p>
        </w:tc>
        <w:tc>
          <w:tcPr>
            <w:tcW w:w="0" w:type="auto"/>
            <w:vMerge w:val="restart"/>
            <w:noWrap w:val="0"/>
            <w:vAlign w:val="center"/>
          </w:tcPr>
          <w:p>
            <w:pPr>
              <w:adjustRightInd w:val="0"/>
              <w:snapToGrid w:val="0"/>
              <w:jc w:val="center"/>
              <w:rPr>
                <w:rFonts w:hint="eastAsia" w:ascii="宋体" w:hAnsi="宋体"/>
                <w:szCs w:val="21"/>
              </w:rPr>
            </w:pPr>
            <w:r>
              <w:rPr>
                <w:rFonts w:hint="eastAsia" w:ascii="宋体" w:hAnsi="宋体"/>
                <w:szCs w:val="21"/>
              </w:rPr>
              <w:t>技术服务团队</w:t>
            </w:r>
          </w:p>
        </w:tc>
        <w:tc>
          <w:tcPr>
            <w:tcW w:w="0" w:type="auto"/>
            <w:noWrap w:val="0"/>
            <w:vAlign w:val="center"/>
          </w:tcPr>
          <w:p>
            <w:pPr>
              <w:adjustRightInd w:val="0"/>
              <w:snapToGrid w:val="0"/>
              <w:rPr>
                <w:rFonts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项目经理</w:t>
            </w:r>
            <w:r>
              <w:rPr>
                <w:rFonts w:hint="eastAsia" w:ascii="宋体" w:hAnsi="宋体"/>
                <w:color w:val="000000"/>
                <w:kern w:val="0"/>
                <w:szCs w:val="21"/>
              </w:rPr>
              <w:t>情况：</w:t>
            </w:r>
          </w:p>
          <w:p>
            <w:pPr>
              <w:adjustRightInd w:val="0"/>
              <w:snapToGrid w:val="0"/>
              <w:rPr>
                <w:rFonts w:ascii="宋体" w:hAnsi="宋体"/>
                <w:color w:val="auto"/>
                <w:kern w:val="0"/>
                <w:szCs w:val="21"/>
              </w:rPr>
            </w:pPr>
            <w:r>
              <w:rPr>
                <w:rFonts w:hint="eastAsia" w:ascii="宋体" w:hAnsi="宋体" w:cs="宋体"/>
                <w:color w:val="auto"/>
                <w:kern w:val="0"/>
                <w:szCs w:val="21"/>
              </w:rPr>
              <w:t>具备机电安装工程专业二级(含)以上注册建造师注册证书得2分，具有有效的安全生产考核合格证得2分，最高4分</w:t>
            </w:r>
            <w:r>
              <w:rPr>
                <w:rFonts w:hint="eastAsia" w:ascii="宋体" w:hAnsi="宋体"/>
                <w:color w:val="auto"/>
                <w:kern w:val="0"/>
                <w:szCs w:val="21"/>
              </w:rPr>
              <w:t>。</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须在社保缴纳证明文件上清晰标注出拟投入的项目经理人员的姓名所在的位置，否则不得分。</w:t>
            </w:r>
          </w:p>
        </w:tc>
        <w:tc>
          <w:tcPr>
            <w:tcW w:w="792" w:type="dxa"/>
            <w:noWrap w:val="0"/>
            <w:vAlign w:val="center"/>
          </w:tcPr>
          <w:p>
            <w:pPr>
              <w:adjustRightInd w:val="0"/>
              <w:snapToGrid w:val="0"/>
              <w:jc w:val="center"/>
              <w:rPr>
                <w:rFonts w:hint="eastAsia" w:ascii="宋体" w:hAnsi="宋体"/>
                <w:szCs w:val="21"/>
              </w:rPr>
            </w:pPr>
            <w:r>
              <w:rPr>
                <w:rFonts w:hint="eastAsia" w:ascii="宋体" w:hAnsi="宋体"/>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vMerge w:val="continue"/>
            <w:noWrap w:val="0"/>
            <w:vAlign w:val="center"/>
          </w:tcPr>
          <w:p>
            <w:pPr>
              <w:adjustRightInd w:val="0"/>
              <w:snapToGrid w:val="0"/>
              <w:jc w:val="center"/>
              <w:rPr>
                <w:rFonts w:hint="eastAsia" w:ascii="宋体" w:hAnsi="宋体"/>
                <w:color w:val="000000"/>
                <w:szCs w:val="21"/>
              </w:rPr>
            </w:pPr>
          </w:p>
        </w:tc>
        <w:tc>
          <w:tcPr>
            <w:tcW w:w="0" w:type="auto"/>
            <w:vMerge w:val="continue"/>
            <w:noWrap w:val="0"/>
            <w:vAlign w:val="center"/>
          </w:tcPr>
          <w:p>
            <w:pPr>
              <w:adjustRightInd w:val="0"/>
              <w:snapToGrid w:val="0"/>
              <w:jc w:val="center"/>
              <w:rPr>
                <w:rFonts w:hint="eastAsia" w:ascii="宋体" w:hAnsi="宋体"/>
                <w:szCs w:val="21"/>
              </w:rPr>
            </w:pPr>
          </w:p>
        </w:tc>
        <w:tc>
          <w:tcPr>
            <w:tcW w:w="0" w:type="auto"/>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技术负责人</w:t>
            </w:r>
            <w:r>
              <w:rPr>
                <w:rFonts w:hint="eastAsia" w:ascii="宋体" w:hAnsi="宋体"/>
                <w:color w:val="000000"/>
                <w:kern w:val="0"/>
                <w:szCs w:val="21"/>
              </w:rPr>
              <w:t>情况：</w:t>
            </w:r>
          </w:p>
          <w:p>
            <w:pPr>
              <w:adjustRightInd w:val="0"/>
              <w:snapToGrid w:val="0"/>
              <w:rPr>
                <w:rFonts w:hint="eastAsia" w:ascii="宋体" w:hAnsi="宋体"/>
                <w:color w:val="auto"/>
                <w:kern w:val="0"/>
                <w:szCs w:val="21"/>
              </w:rPr>
            </w:pPr>
            <w:r>
              <w:rPr>
                <w:rFonts w:hint="eastAsia" w:ascii="宋体" w:hAnsi="宋体"/>
                <w:color w:val="auto"/>
                <w:kern w:val="0"/>
                <w:szCs w:val="21"/>
              </w:rPr>
              <w:t>具有电力、电气类工程师或以上资质，得</w:t>
            </w:r>
            <w:r>
              <w:rPr>
                <w:rFonts w:hint="eastAsia" w:ascii="宋体" w:hAnsi="宋体"/>
                <w:color w:val="auto"/>
                <w:kern w:val="0"/>
                <w:szCs w:val="21"/>
                <w:lang w:val="en-US" w:eastAsia="zh-CN"/>
              </w:rPr>
              <w:t>4</w:t>
            </w:r>
            <w:r>
              <w:rPr>
                <w:rFonts w:hint="eastAsia" w:ascii="宋体" w:hAnsi="宋体"/>
                <w:color w:val="auto"/>
                <w:kern w:val="0"/>
                <w:szCs w:val="21"/>
              </w:rPr>
              <w:t>分。</w:t>
            </w:r>
          </w:p>
          <w:p>
            <w:pPr>
              <w:adjustRightInd w:val="0"/>
              <w:snapToGrid w:val="0"/>
              <w:rPr>
                <w:rFonts w:hint="eastAsia" w:ascii="宋体" w:hAnsi="宋体"/>
                <w:color w:val="000000"/>
                <w:kern w:val="0"/>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须在社保缴纳证明文件上清晰标注出拟投入的技术负责人的姓名所在的位置，否则不得分。</w:t>
            </w:r>
          </w:p>
        </w:tc>
        <w:tc>
          <w:tcPr>
            <w:tcW w:w="792"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vMerge w:val="continue"/>
            <w:noWrap w:val="0"/>
            <w:vAlign w:val="center"/>
          </w:tcPr>
          <w:p>
            <w:pPr>
              <w:adjustRightInd w:val="0"/>
              <w:snapToGrid w:val="0"/>
              <w:jc w:val="center"/>
              <w:rPr>
                <w:rFonts w:hint="eastAsia" w:ascii="宋体" w:hAnsi="宋体"/>
                <w:color w:val="000000"/>
                <w:szCs w:val="21"/>
              </w:rPr>
            </w:pPr>
          </w:p>
        </w:tc>
        <w:tc>
          <w:tcPr>
            <w:tcW w:w="0" w:type="auto"/>
            <w:vMerge w:val="continue"/>
            <w:noWrap w:val="0"/>
            <w:vAlign w:val="center"/>
          </w:tcPr>
          <w:p>
            <w:pPr>
              <w:adjustRightInd w:val="0"/>
              <w:snapToGrid w:val="0"/>
              <w:jc w:val="center"/>
              <w:rPr>
                <w:rFonts w:hint="eastAsia" w:ascii="宋体" w:hAnsi="宋体"/>
                <w:szCs w:val="21"/>
              </w:rPr>
            </w:pPr>
          </w:p>
        </w:tc>
        <w:tc>
          <w:tcPr>
            <w:tcW w:w="0" w:type="auto"/>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2名</w:t>
            </w:r>
            <w:r>
              <w:rPr>
                <w:rFonts w:hint="eastAsia" w:ascii="宋体" w:hAnsi="宋体"/>
                <w:b/>
                <w:bCs/>
                <w:color w:val="000000"/>
                <w:kern w:val="0"/>
                <w:szCs w:val="21"/>
                <w:lang w:val="en-US" w:eastAsia="zh-CN"/>
              </w:rPr>
              <w:t>维修人员</w:t>
            </w:r>
            <w:r>
              <w:rPr>
                <w:rFonts w:hint="eastAsia" w:ascii="宋体" w:hAnsi="宋体"/>
                <w:color w:val="000000"/>
                <w:kern w:val="0"/>
                <w:szCs w:val="21"/>
              </w:rPr>
              <w:t>情况：</w:t>
            </w:r>
          </w:p>
          <w:p>
            <w:pPr>
              <w:adjustRightInd w:val="0"/>
              <w:snapToGrid w:val="0"/>
              <w:jc w:val="left"/>
              <w:rPr>
                <w:rFonts w:hint="eastAsia" w:ascii="宋体" w:hAnsi="宋体"/>
                <w:b/>
                <w:color w:val="auto"/>
                <w:kern w:val="0"/>
                <w:szCs w:val="21"/>
              </w:rPr>
            </w:pPr>
            <w:r>
              <w:rPr>
                <w:rFonts w:hint="eastAsia" w:ascii="宋体" w:hAnsi="宋体"/>
                <w:color w:val="auto"/>
                <w:kern w:val="0"/>
                <w:szCs w:val="21"/>
              </w:rPr>
              <w:t>持有人力资源和社会保障部门颁发的</w:t>
            </w:r>
            <w:r>
              <w:rPr>
                <w:rFonts w:hint="eastAsia" w:ascii="宋体" w:hAnsi="宋体" w:cs="宋体"/>
                <w:color w:val="auto"/>
                <w:kern w:val="0"/>
                <w:szCs w:val="21"/>
              </w:rPr>
              <w:t>电工职业资格证书：</w:t>
            </w:r>
            <w:r>
              <w:rPr>
                <w:rFonts w:ascii="宋体" w:hAnsi="宋体" w:cs="宋体"/>
                <w:color w:val="auto"/>
                <w:kern w:val="0"/>
                <w:szCs w:val="21"/>
              </w:rPr>
              <w:t>初级(五级)</w:t>
            </w:r>
            <w:r>
              <w:rPr>
                <w:rFonts w:hint="eastAsia" w:ascii="宋体" w:hAnsi="宋体" w:cs="宋体"/>
                <w:color w:val="auto"/>
                <w:kern w:val="0"/>
                <w:szCs w:val="21"/>
              </w:rPr>
              <w:t>得1分，</w:t>
            </w:r>
            <w:r>
              <w:rPr>
                <w:rFonts w:ascii="宋体" w:hAnsi="宋体" w:cs="宋体"/>
                <w:color w:val="auto"/>
                <w:kern w:val="0"/>
                <w:szCs w:val="21"/>
              </w:rPr>
              <w:t>中级(四级)</w:t>
            </w:r>
            <w:r>
              <w:rPr>
                <w:rFonts w:hint="eastAsia" w:ascii="宋体" w:hAnsi="宋体" w:cs="宋体"/>
                <w:color w:val="auto"/>
                <w:kern w:val="0"/>
                <w:szCs w:val="21"/>
              </w:rPr>
              <w:t>得3分，高级（三级）或以上得</w:t>
            </w:r>
            <w:r>
              <w:rPr>
                <w:rFonts w:hint="eastAsia" w:ascii="宋体" w:hAnsi="宋体" w:cs="宋体"/>
                <w:color w:val="auto"/>
                <w:kern w:val="0"/>
                <w:szCs w:val="21"/>
                <w:lang w:val="en-US" w:eastAsia="zh-CN"/>
              </w:rPr>
              <w:t>6</w:t>
            </w:r>
            <w:r>
              <w:rPr>
                <w:rFonts w:hint="eastAsia" w:ascii="宋体" w:hAnsi="宋体" w:cs="宋体"/>
                <w:color w:val="auto"/>
                <w:kern w:val="0"/>
                <w:szCs w:val="21"/>
              </w:rPr>
              <w:t>分，只提供1名或不提供的不得分，以所投</w:t>
            </w:r>
            <w:r>
              <w:rPr>
                <w:rFonts w:hint="eastAsia" w:ascii="宋体" w:hAnsi="宋体" w:cs="宋体"/>
                <w:color w:val="auto"/>
                <w:kern w:val="0"/>
                <w:szCs w:val="21"/>
                <w:lang w:val="en-US" w:eastAsia="zh-CN"/>
              </w:rPr>
              <w:t>维修人员</w:t>
            </w:r>
            <w:r>
              <w:rPr>
                <w:rFonts w:hint="eastAsia" w:ascii="宋体" w:hAnsi="宋体" w:cs="宋体"/>
                <w:color w:val="auto"/>
                <w:kern w:val="0"/>
                <w:szCs w:val="21"/>
              </w:rPr>
              <w:t>最低职业资格级别作为评审标准，该项最高得</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w:t>
            </w:r>
            <w:r>
              <w:rPr>
                <w:rFonts w:hint="eastAsia" w:ascii="宋体" w:hAnsi="宋体"/>
                <w:color w:val="000000"/>
                <w:kern w:val="0"/>
                <w:szCs w:val="21"/>
              </w:rPr>
              <w:t>电工</w:t>
            </w:r>
            <w:r>
              <w:rPr>
                <w:rFonts w:hint="eastAsia" w:ascii="宋体" w:hAnsi="宋体"/>
                <w:b/>
                <w:color w:val="000000"/>
                <w:kern w:val="0"/>
                <w:szCs w:val="21"/>
              </w:rPr>
              <w:t>的姓名所在的位置，否则不得分。</w:t>
            </w:r>
          </w:p>
        </w:tc>
        <w:tc>
          <w:tcPr>
            <w:tcW w:w="792"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937" w:type="dxa"/>
            <w:noWrap w:val="0"/>
            <w:vAlign w:val="center"/>
          </w:tcPr>
          <w:p>
            <w:pPr>
              <w:adjustRightInd w:val="0"/>
              <w:snapToGrid w:val="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公司管理制度</w:t>
            </w:r>
          </w:p>
        </w:tc>
        <w:tc>
          <w:tcPr>
            <w:tcW w:w="6977" w:type="dxa"/>
            <w:noWrap w:val="0"/>
            <w:vAlign w:val="center"/>
          </w:tcPr>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rPr>
              <w:t>投标人针对本项目</w:t>
            </w:r>
            <w:r>
              <w:rPr>
                <w:rFonts w:hint="eastAsia" w:ascii="宋体" w:hAnsi="宋体" w:cs="宋体"/>
                <w:color w:val="auto"/>
                <w:kern w:val="0"/>
                <w:szCs w:val="21"/>
                <w:lang w:val="en-US" w:eastAsia="zh-CN"/>
              </w:rPr>
              <w:t>的公司管理制度是否清晰、健全、规范，管理流程是否顺畅、高效等</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（1）公司内部管理制度非常清晰、健全、规范，管理流程非常顺畅、高效得6分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（2）公司内部管理制度清晰、健全、规范，管理流程顺畅、高效得4分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（3）公司内部管理制度较为清晰、健全、规范，管理流程较为顺畅、高效得2分</w:t>
            </w:r>
          </w:p>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（4）其余一律不得分。</w:t>
            </w:r>
          </w:p>
        </w:tc>
        <w:tc>
          <w:tcPr>
            <w:tcW w:w="792" w:type="dxa"/>
            <w:noWrap w:val="0"/>
            <w:vAlign w:val="center"/>
          </w:tcPr>
          <w:p>
            <w:pPr>
              <w:adjustRightInd w:val="0"/>
              <w:snapToGrid w:val="0"/>
              <w:jc w:val="center"/>
              <w:rPr>
                <w:rFonts w:hint="default" w:ascii="宋体" w:hAnsi="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0" w:type="auto"/>
            <w:noWrap w:val="0"/>
            <w:vAlign w:val="center"/>
          </w:tcPr>
          <w:p>
            <w:pPr>
              <w:adjustRightInd w:val="0"/>
              <w:snapToGrid w:val="0"/>
              <w:jc w:val="center"/>
              <w:rPr>
                <w:rFonts w:hint="eastAsia" w:ascii="宋体" w:hAnsi="宋体"/>
                <w:szCs w:val="21"/>
              </w:rPr>
            </w:pPr>
            <w:r>
              <w:rPr>
                <w:rFonts w:hint="eastAsia" w:ascii="宋体" w:hAnsi="宋体"/>
                <w:szCs w:val="21"/>
              </w:rPr>
              <w:t>维保方案</w:t>
            </w:r>
          </w:p>
        </w:tc>
        <w:tc>
          <w:tcPr>
            <w:tcW w:w="0" w:type="auto"/>
            <w:noWrap w:val="0"/>
            <w:vAlign w:val="center"/>
          </w:tcPr>
          <w:p>
            <w:pPr>
              <w:adjustRightInd w:val="0"/>
              <w:snapToGrid w:val="0"/>
              <w:jc w:val="left"/>
              <w:rPr>
                <w:rFonts w:hint="eastAsia" w:ascii="宋体" w:hAnsi="宋体"/>
                <w:szCs w:val="21"/>
              </w:rPr>
            </w:pPr>
            <w:r>
              <w:rPr>
                <w:rFonts w:hint="eastAsia" w:ascii="宋体" w:hAnsi="宋体"/>
                <w:szCs w:val="21"/>
              </w:rPr>
              <w:t>投标人针对本项目制定维保服务方案，主要包括管理制度（</w:t>
            </w:r>
            <w:r>
              <w:rPr>
                <w:rFonts w:hint="eastAsia" w:ascii="宋体" w:hAnsi="宋体" w:cs="宋体"/>
                <w:kern w:val="0"/>
                <w:szCs w:val="21"/>
              </w:rPr>
              <w:t>维保档案管理、综合协调方案等</w:t>
            </w:r>
            <w:r>
              <w:rPr>
                <w:rFonts w:hint="eastAsia" w:ascii="宋体" w:hAnsi="宋体"/>
                <w:szCs w:val="21"/>
              </w:rPr>
              <w:t>）、安全和文明服务及相关制度、人员安排、质保及</w:t>
            </w:r>
            <w:r>
              <w:rPr>
                <w:rFonts w:hint="eastAsia" w:ascii="宋体" w:hAnsi="宋体"/>
                <w:szCs w:val="21"/>
                <w:lang w:val="en-US" w:eastAsia="zh-CN"/>
              </w:rPr>
              <w:t>检修</w:t>
            </w:r>
            <w:r>
              <w:rPr>
                <w:rFonts w:hint="eastAsia" w:ascii="宋体" w:hAnsi="宋体"/>
                <w:szCs w:val="21"/>
              </w:rPr>
              <w:t>措施、服务响应措施、安全用电培训等。</w:t>
            </w:r>
          </w:p>
          <w:p>
            <w:pPr>
              <w:adjustRightInd w:val="0"/>
              <w:snapToGrid w:val="0"/>
              <w:rPr>
                <w:rFonts w:ascii="宋体" w:hAnsi="宋体"/>
                <w:szCs w:val="21"/>
              </w:rPr>
            </w:pPr>
            <w:r>
              <w:rPr>
                <w:rFonts w:hint="eastAsia" w:ascii="宋体" w:hAnsi="宋体"/>
                <w:szCs w:val="21"/>
              </w:rPr>
              <w:t>（1）方案详细完整，安排科学、可行，完全适用且优于本项目用户需求得6分。</w:t>
            </w:r>
          </w:p>
          <w:p>
            <w:pPr>
              <w:adjustRightInd w:val="0"/>
              <w:snapToGrid w:val="0"/>
              <w:rPr>
                <w:rFonts w:ascii="宋体" w:hAnsi="宋体"/>
                <w:szCs w:val="21"/>
              </w:rPr>
            </w:pPr>
            <w:r>
              <w:rPr>
                <w:rFonts w:hint="eastAsia" w:ascii="宋体" w:hAnsi="宋体"/>
                <w:szCs w:val="21"/>
              </w:rPr>
              <w:t>（2）方案基本完整，安排较科学、基本可行，完全适用本项目用户需求得3分。</w:t>
            </w:r>
          </w:p>
          <w:p>
            <w:pPr>
              <w:adjustRightInd w:val="0"/>
              <w:snapToGrid w:val="0"/>
              <w:rPr>
                <w:rFonts w:hint="eastAsia" w:ascii="宋体" w:hAnsi="宋体"/>
                <w:szCs w:val="21"/>
              </w:rPr>
            </w:pPr>
            <w:r>
              <w:rPr>
                <w:rFonts w:hint="eastAsia" w:ascii="宋体" w:hAnsi="宋体"/>
                <w:szCs w:val="21"/>
              </w:rPr>
              <w:t>（3）方案不完整、安排不科学、不可行，部分适用本项目用户需求得0.5分。</w:t>
            </w:r>
          </w:p>
          <w:p>
            <w:pPr>
              <w:adjustRightInd w:val="0"/>
              <w:snapToGrid w:val="0"/>
              <w:jc w:val="left"/>
              <w:rPr>
                <w:rFonts w:hint="eastAsia" w:ascii="宋体" w:hAnsi="宋体"/>
                <w:szCs w:val="21"/>
              </w:rPr>
            </w:pPr>
            <w:r>
              <w:rPr>
                <w:rFonts w:hint="eastAsia" w:ascii="宋体" w:hAnsi="宋体"/>
                <w:szCs w:val="21"/>
              </w:rPr>
              <w:t>不提供不得分。</w:t>
            </w:r>
          </w:p>
        </w:tc>
        <w:tc>
          <w:tcPr>
            <w:tcW w:w="792" w:type="dxa"/>
            <w:noWrap w:val="0"/>
            <w:vAlign w:val="center"/>
          </w:tcPr>
          <w:p>
            <w:pPr>
              <w:adjustRightInd w:val="0"/>
              <w:snapToGrid w:val="0"/>
              <w:jc w:val="center"/>
              <w:rPr>
                <w:rFonts w:hint="eastAsia" w:ascii="宋体" w:hAnsi="宋体"/>
                <w:szCs w:val="21"/>
              </w:rPr>
            </w:pPr>
            <w:r>
              <w:rPr>
                <w:rFonts w:hint="eastAsia" w:ascii="宋体" w:hAnsi="宋体"/>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color w:val="000000"/>
                <w:szCs w:val="21"/>
              </w:rPr>
            </w:pPr>
            <w:r>
              <w:rPr>
                <w:rFonts w:hint="eastAsia" w:ascii="宋体" w:hAnsi="宋体"/>
                <w:color w:val="000000"/>
                <w:szCs w:val="21"/>
              </w:rPr>
              <w:t>4</w:t>
            </w:r>
          </w:p>
        </w:tc>
        <w:tc>
          <w:tcPr>
            <w:tcW w:w="0" w:type="auto"/>
            <w:noWrap w:val="0"/>
            <w:vAlign w:val="center"/>
          </w:tcPr>
          <w:p>
            <w:pPr>
              <w:adjustRightInd w:val="0"/>
              <w:snapToGrid w:val="0"/>
              <w:jc w:val="left"/>
              <w:rPr>
                <w:rFonts w:hint="eastAsia" w:ascii="宋体" w:hAnsi="宋体" w:cs="宋体"/>
                <w:kern w:val="0"/>
                <w:szCs w:val="21"/>
              </w:rPr>
            </w:pPr>
            <w:r>
              <w:rPr>
                <w:rFonts w:hint="eastAsia" w:ascii="宋体" w:hAnsi="宋体" w:cs="宋体"/>
                <w:kern w:val="0"/>
                <w:szCs w:val="21"/>
              </w:rPr>
              <w:t>应急方案与质量保证措施</w:t>
            </w:r>
          </w:p>
        </w:tc>
        <w:tc>
          <w:tcPr>
            <w:tcW w:w="0" w:type="auto"/>
            <w:noWrap w:val="0"/>
            <w:vAlign w:val="center"/>
          </w:tcPr>
          <w:p>
            <w:pPr>
              <w:adjustRightInd w:val="0"/>
              <w:snapToGrid w:val="0"/>
              <w:jc w:val="left"/>
              <w:rPr>
                <w:rFonts w:hint="eastAsia" w:ascii="宋体" w:hAnsi="宋体" w:cs="宋体"/>
                <w:kern w:val="0"/>
                <w:szCs w:val="21"/>
              </w:rPr>
            </w:pPr>
            <w:r>
              <w:rPr>
                <w:rFonts w:hint="eastAsia" w:ascii="宋体" w:hAnsi="宋体" w:cs="宋体"/>
                <w:kern w:val="0"/>
                <w:szCs w:val="21"/>
              </w:rPr>
              <w:t>投标人针对本项目制定应急方案与质量保证措施，主要考察紧急状况或学校重大活动、</w:t>
            </w:r>
            <w:r>
              <w:rPr>
                <w:rFonts w:hint="eastAsia" w:ascii="宋体" w:hAnsi="宋体" w:cs="宋体"/>
                <w:kern w:val="0"/>
                <w:szCs w:val="21"/>
                <w:lang w:val="en-US" w:eastAsia="zh-CN"/>
              </w:rPr>
              <w:t>弱电故障</w:t>
            </w:r>
            <w:r>
              <w:rPr>
                <w:rFonts w:hint="eastAsia" w:ascii="宋体" w:hAnsi="宋体" w:cs="宋体"/>
                <w:kern w:val="0"/>
                <w:szCs w:val="21"/>
              </w:rPr>
              <w:t>或特殊情况时的维保、检修工作及确保</w:t>
            </w:r>
            <w:r>
              <w:rPr>
                <w:rFonts w:hint="eastAsia" w:ascii="宋体" w:hAnsi="宋体" w:cs="宋体"/>
                <w:kern w:val="0"/>
                <w:szCs w:val="21"/>
                <w:lang w:val="en-US" w:eastAsia="zh-CN"/>
              </w:rPr>
              <w:t>弱电</w:t>
            </w:r>
            <w:r>
              <w:rPr>
                <w:rFonts w:hint="eastAsia" w:ascii="宋体" w:hAnsi="宋体" w:cs="宋体"/>
                <w:kern w:val="0"/>
                <w:szCs w:val="21"/>
              </w:rPr>
              <w:t>系统、</w:t>
            </w:r>
            <w:r>
              <w:rPr>
                <w:rFonts w:hint="eastAsia" w:ascii="宋体" w:hAnsi="宋体" w:cs="宋体"/>
                <w:kern w:val="0"/>
                <w:szCs w:val="21"/>
                <w:lang w:val="en-US" w:eastAsia="zh-CN"/>
              </w:rPr>
              <w:t>图书馆弱电</w:t>
            </w:r>
            <w:r>
              <w:rPr>
                <w:rFonts w:hint="eastAsia" w:ascii="宋体" w:hAnsi="宋体" w:cs="宋体"/>
                <w:kern w:val="0"/>
                <w:szCs w:val="21"/>
              </w:rPr>
              <w:t>设备正常运行的方案等。</w:t>
            </w:r>
          </w:p>
          <w:p>
            <w:pPr>
              <w:adjustRightInd w:val="0"/>
              <w:snapToGrid w:val="0"/>
              <w:jc w:val="left"/>
              <w:rPr>
                <w:rFonts w:ascii="宋体" w:hAnsi="宋体" w:cs="宋体"/>
                <w:kern w:val="0"/>
                <w:szCs w:val="21"/>
              </w:rPr>
            </w:pPr>
            <w:r>
              <w:rPr>
                <w:rFonts w:hint="eastAsia" w:ascii="宋体" w:hAnsi="宋体" w:cs="宋体"/>
                <w:kern w:val="0"/>
                <w:szCs w:val="21"/>
              </w:rPr>
              <w:t>（1）方案详细完整，安排科学、可行，完全适用且优于本项目用户需求得6分。</w:t>
            </w:r>
          </w:p>
          <w:p>
            <w:pPr>
              <w:adjustRightInd w:val="0"/>
              <w:snapToGrid w:val="0"/>
              <w:jc w:val="left"/>
              <w:rPr>
                <w:rFonts w:ascii="宋体" w:hAnsi="宋体" w:cs="宋体"/>
                <w:kern w:val="0"/>
                <w:szCs w:val="21"/>
              </w:rPr>
            </w:pPr>
            <w:r>
              <w:rPr>
                <w:rFonts w:hint="eastAsia" w:ascii="宋体" w:hAnsi="宋体" w:cs="宋体"/>
                <w:kern w:val="0"/>
                <w:szCs w:val="21"/>
              </w:rPr>
              <w:t>（2）方案基本完整，安排较科学、基本可行，完全适用本项目用户需求得3分。</w:t>
            </w:r>
          </w:p>
          <w:p>
            <w:pPr>
              <w:adjustRightInd w:val="0"/>
              <w:snapToGrid w:val="0"/>
              <w:jc w:val="left"/>
              <w:rPr>
                <w:rFonts w:hint="eastAsia" w:ascii="宋体" w:hAnsi="宋体" w:cs="宋体"/>
                <w:kern w:val="0"/>
                <w:szCs w:val="21"/>
              </w:rPr>
            </w:pPr>
            <w:r>
              <w:rPr>
                <w:rFonts w:hint="eastAsia" w:ascii="宋体" w:hAnsi="宋体" w:cs="宋体"/>
                <w:kern w:val="0"/>
                <w:szCs w:val="21"/>
              </w:rPr>
              <w:t>（3）方案不完整、安排不科学、不可行，部分适用本项目用户需求得0.5分。</w:t>
            </w:r>
          </w:p>
          <w:p>
            <w:pPr>
              <w:adjustRightInd w:val="0"/>
              <w:snapToGrid w:val="0"/>
              <w:jc w:val="left"/>
              <w:rPr>
                <w:rFonts w:hint="eastAsia" w:ascii="宋体" w:hAnsi="宋体" w:cs="宋体"/>
                <w:kern w:val="0"/>
                <w:szCs w:val="21"/>
              </w:rPr>
            </w:pPr>
            <w:r>
              <w:rPr>
                <w:rFonts w:hint="eastAsia" w:ascii="宋体" w:hAnsi="宋体" w:cs="宋体"/>
                <w:kern w:val="0"/>
                <w:szCs w:val="21"/>
              </w:rPr>
              <w:t>不提供不得分。</w:t>
            </w:r>
          </w:p>
        </w:tc>
        <w:tc>
          <w:tcPr>
            <w:tcW w:w="792" w:type="dxa"/>
            <w:noWrap w:val="0"/>
            <w:vAlign w:val="center"/>
          </w:tcPr>
          <w:p>
            <w:pPr>
              <w:adjustRightInd w:val="0"/>
              <w:snapToGrid w:val="0"/>
              <w:jc w:val="center"/>
              <w:rPr>
                <w:rFonts w:hint="eastAsia" w:ascii="宋体" w:hAnsi="宋体"/>
                <w:szCs w:val="21"/>
              </w:rPr>
            </w:pPr>
            <w:r>
              <w:rPr>
                <w:rFonts w:hint="eastAsia" w:ascii="宋体" w:hAnsi="宋体"/>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0" w:type="auto"/>
            <w:noWrap w:val="0"/>
            <w:vAlign w:val="center"/>
          </w:tcPr>
          <w:p>
            <w:pPr>
              <w:adjustRightInd w:val="0"/>
              <w:snapToGrid w:val="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本地化服务</w:t>
            </w:r>
          </w:p>
        </w:tc>
        <w:tc>
          <w:tcPr>
            <w:tcW w:w="0" w:type="auto"/>
            <w:noWrap w:val="0"/>
            <w:vAlign w:val="center"/>
          </w:tcPr>
          <w:p>
            <w:pPr>
              <w:adjustRightInd w:val="0"/>
              <w:snapToGrid w:val="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投标人总部在广州市内或广州市内有分支服务点</w:t>
            </w:r>
          </w:p>
        </w:tc>
        <w:tc>
          <w:tcPr>
            <w:tcW w:w="792" w:type="dxa"/>
            <w:noWrap w:val="0"/>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0" w:type="auto"/>
            <w:gridSpan w:val="3"/>
            <w:noWrap w:val="0"/>
            <w:vAlign w:val="center"/>
          </w:tcPr>
          <w:p>
            <w:pPr>
              <w:adjustRightInd w:val="0"/>
              <w:snapToGrid w:val="0"/>
              <w:jc w:val="right"/>
              <w:rPr>
                <w:rFonts w:ascii="宋体" w:hAnsi="宋体"/>
                <w:color w:val="000000"/>
                <w:sz w:val="24"/>
                <w:szCs w:val="24"/>
              </w:rPr>
            </w:pPr>
            <w:r>
              <w:rPr>
                <w:rFonts w:hint="eastAsia" w:ascii="宋体" w:hAnsi="宋体"/>
                <w:color w:val="000000"/>
                <w:sz w:val="24"/>
                <w:szCs w:val="24"/>
                <w:lang w:val="en-US" w:eastAsia="zh-CN"/>
              </w:rPr>
              <w:t>小</w:t>
            </w:r>
            <w:r>
              <w:rPr>
                <w:rFonts w:hint="eastAsia" w:ascii="宋体" w:hAnsi="宋体"/>
                <w:color w:val="000000"/>
                <w:sz w:val="24"/>
                <w:szCs w:val="24"/>
              </w:rPr>
              <w:t>计</w:t>
            </w:r>
          </w:p>
        </w:tc>
        <w:tc>
          <w:tcPr>
            <w:tcW w:w="792" w:type="dxa"/>
            <w:noWrap w:val="0"/>
            <w:vAlign w:val="center"/>
          </w:tcPr>
          <w:p>
            <w:pPr>
              <w:autoSpaceDE w:val="0"/>
              <w:autoSpaceDN w:val="0"/>
              <w:adjustRightInd w:val="0"/>
              <w:snapToGrid w:val="0"/>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50分</w:t>
            </w:r>
          </w:p>
        </w:tc>
      </w:tr>
    </w:tbl>
    <w:p>
      <w:pPr>
        <w:snapToGrid w:val="0"/>
        <w:jc w:val="both"/>
        <w:rPr>
          <w:rFonts w:hint="eastAsia" w:ascii="宋体" w:hAnsi="Arial"/>
          <w:b/>
          <w:color w:val="000000"/>
          <w:sz w:val="28"/>
          <w:szCs w:val="28"/>
        </w:rPr>
      </w:pPr>
    </w:p>
    <w:p>
      <w:pPr>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2"/>
        <w:rPr>
          <w:rFonts w:hint="eastAsia" w:ascii="宋体" w:hAnsi="宋体"/>
          <w:color w:val="000000"/>
          <w:sz w:val="28"/>
          <w:szCs w:val="23"/>
        </w:rPr>
      </w:pPr>
    </w:p>
    <w:p>
      <w:pPr>
        <w:pStyle w:val="3"/>
        <w:bidi w:val="0"/>
      </w:pPr>
      <w:bookmarkStart w:id="35" w:name="_Toc3833"/>
      <w:r>
        <w:rPr>
          <w:rFonts w:hint="eastAsia"/>
        </w:rPr>
        <w:t>第五部分  合同格式及主要条款</w:t>
      </w:r>
      <w:bookmarkEnd w:id="35"/>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2"/>
        </w:numPr>
        <w:rPr>
          <w:rFonts w:ascii="宋体" w:hAnsi="宋体"/>
          <w:color w:val="000000"/>
          <w:sz w:val="23"/>
          <w:szCs w:val="23"/>
        </w:rPr>
      </w:pPr>
      <w:r>
        <w:rPr>
          <w:rFonts w:hint="eastAsia" w:ascii="宋体" w:hAnsi="宋体"/>
          <w:bCs/>
          <w:color w:val="000000"/>
          <w:sz w:val="23"/>
          <w:szCs w:val="23"/>
        </w:rPr>
        <w:t>组成合同的文件</w:t>
      </w:r>
    </w:p>
    <w:p>
      <w:pPr>
        <w:numPr>
          <w:ilvl w:val="0"/>
          <w:numId w:val="13"/>
        </w:numPr>
        <w:rPr>
          <w:rFonts w:ascii="宋体" w:hAnsi="宋体"/>
          <w:color w:val="000000"/>
          <w:sz w:val="23"/>
          <w:szCs w:val="23"/>
        </w:rPr>
      </w:pPr>
      <w:r>
        <w:rPr>
          <w:rFonts w:hint="eastAsia" w:ascii="宋体" w:hAnsi="宋体"/>
          <w:color w:val="000000"/>
          <w:sz w:val="23"/>
          <w:szCs w:val="23"/>
        </w:rPr>
        <w:t>本合同协议书。</w:t>
      </w:r>
    </w:p>
    <w:p>
      <w:pPr>
        <w:numPr>
          <w:ilvl w:val="0"/>
          <w:numId w:val="13"/>
        </w:numPr>
        <w:rPr>
          <w:rFonts w:ascii="宋体" w:hAnsi="宋体"/>
          <w:color w:val="000000"/>
          <w:sz w:val="23"/>
          <w:szCs w:val="23"/>
        </w:rPr>
      </w:pPr>
      <w:r>
        <w:rPr>
          <w:rFonts w:hint="eastAsia" w:ascii="宋体" w:hAnsi="宋体"/>
          <w:color w:val="000000"/>
          <w:sz w:val="23"/>
          <w:szCs w:val="23"/>
        </w:rPr>
        <w:t>中标通知书。</w:t>
      </w:r>
    </w:p>
    <w:p>
      <w:pPr>
        <w:numPr>
          <w:ilvl w:val="0"/>
          <w:numId w:val="13"/>
        </w:numPr>
        <w:rPr>
          <w:rFonts w:ascii="宋体" w:hAnsi="宋体"/>
          <w:color w:val="000000"/>
          <w:sz w:val="23"/>
          <w:szCs w:val="23"/>
        </w:rPr>
      </w:pPr>
      <w:r>
        <w:rPr>
          <w:rFonts w:hint="eastAsia" w:ascii="宋体" w:hAnsi="宋体"/>
          <w:color w:val="000000"/>
          <w:sz w:val="23"/>
          <w:szCs w:val="23"/>
        </w:rPr>
        <w:t>投标函及其附件。</w:t>
      </w:r>
    </w:p>
    <w:p>
      <w:pPr>
        <w:numPr>
          <w:ilvl w:val="0"/>
          <w:numId w:val="13"/>
        </w:numPr>
        <w:rPr>
          <w:rFonts w:ascii="宋体" w:hAnsi="宋体"/>
          <w:color w:val="000000"/>
          <w:sz w:val="23"/>
          <w:szCs w:val="23"/>
        </w:rPr>
      </w:pPr>
      <w:r>
        <w:rPr>
          <w:rFonts w:hint="eastAsia" w:ascii="宋体" w:hAnsi="宋体"/>
          <w:color w:val="000000"/>
          <w:sz w:val="23"/>
          <w:szCs w:val="23"/>
        </w:rPr>
        <w:t>招标文件。</w:t>
      </w:r>
    </w:p>
    <w:p>
      <w:pPr>
        <w:numPr>
          <w:ilvl w:val="0"/>
          <w:numId w:val="13"/>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2"/>
        </w:numPr>
        <w:rPr>
          <w:rFonts w:ascii="宋体" w:hAnsi="宋体"/>
          <w:color w:val="000000"/>
          <w:sz w:val="23"/>
          <w:szCs w:val="23"/>
        </w:rPr>
      </w:pPr>
      <w:r>
        <w:rPr>
          <w:rFonts w:hint="eastAsia" w:ascii="宋体" w:hAnsi="宋体"/>
          <w:color w:val="000000"/>
          <w:sz w:val="23"/>
          <w:szCs w:val="23"/>
        </w:rPr>
        <w:t>合同标的</w:t>
      </w:r>
    </w:p>
    <w:p>
      <w:pPr>
        <w:numPr>
          <w:ilvl w:val="0"/>
          <w:numId w:val="14"/>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4"/>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4"/>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4"/>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4"/>
        </w:numPr>
        <w:rPr>
          <w:rFonts w:ascii="宋体" w:hAnsi="宋体"/>
          <w:color w:val="000000"/>
          <w:sz w:val="23"/>
          <w:szCs w:val="23"/>
        </w:rPr>
      </w:pPr>
      <w:r>
        <w:rPr>
          <w:rFonts w:hint="eastAsia" w:ascii="宋体" w:hAnsi="宋体"/>
          <w:color w:val="000000"/>
          <w:sz w:val="23"/>
          <w:szCs w:val="23"/>
        </w:rPr>
        <w:t>其它约定：。</w:t>
      </w:r>
    </w:p>
    <w:p>
      <w:pPr>
        <w:numPr>
          <w:ilvl w:val="0"/>
          <w:numId w:val="12"/>
        </w:numPr>
        <w:rPr>
          <w:rFonts w:ascii="宋体" w:hAnsi="宋体"/>
          <w:color w:val="000000"/>
          <w:sz w:val="23"/>
          <w:szCs w:val="23"/>
        </w:rPr>
      </w:pPr>
      <w:r>
        <w:rPr>
          <w:rFonts w:hint="eastAsia" w:ascii="宋体" w:hAnsi="宋体"/>
          <w:color w:val="000000"/>
          <w:sz w:val="23"/>
          <w:szCs w:val="23"/>
        </w:rPr>
        <w:t>结算方式</w:t>
      </w:r>
    </w:p>
    <w:p>
      <w:pPr>
        <w:numPr>
          <w:ilvl w:val="0"/>
          <w:numId w:val="15"/>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5"/>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5"/>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2"/>
        </w:numPr>
        <w:rPr>
          <w:rFonts w:ascii="宋体" w:hAnsi="宋体"/>
          <w:color w:val="000000"/>
          <w:sz w:val="23"/>
          <w:szCs w:val="23"/>
        </w:rPr>
      </w:pPr>
      <w:r>
        <w:rPr>
          <w:rFonts w:hint="eastAsia" w:ascii="宋体" w:hAnsi="宋体"/>
          <w:color w:val="000000"/>
          <w:sz w:val="23"/>
          <w:szCs w:val="23"/>
        </w:rPr>
        <w:t>付款方式</w:t>
      </w:r>
    </w:p>
    <w:p>
      <w:pPr>
        <w:numPr>
          <w:ilvl w:val="0"/>
          <w:numId w:val="16"/>
        </w:numPr>
        <w:rPr>
          <w:rFonts w:ascii="宋体" w:hAnsi="宋体"/>
          <w:color w:val="000000"/>
          <w:sz w:val="23"/>
          <w:szCs w:val="23"/>
        </w:rPr>
      </w:pPr>
      <w:r>
        <w:rPr>
          <w:rFonts w:hint="eastAsia" w:ascii="宋体" w:hAnsi="宋体"/>
          <w:color w:val="000000"/>
          <w:sz w:val="23"/>
          <w:szCs w:val="23"/>
        </w:rPr>
        <w:t>一次性付款。</w:t>
      </w:r>
    </w:p>
    <w:p>
      <w:pPr>
        <w:numPr>
          <w:ilvl w:val="0"/>
          <w:numId w:val="16"/>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2"/>
        </w:numPr>
        <w:rPr>
          <w:rFonts w:ascii="宋体" w:hAnsi="宋体"/>
          <w:color w:val="000000"/>
          <w:sz w:val="23"/>
          <w:szCs w:val="23"/>
        </w:rPr>
      </w:pPr>
      <w:r>
        <w:rPr>
          <w:rFonts w:hint="eastAsia" w:ascii="宋体" w:hAnsi="宋体"/>
          <w:bCs/>
          <w:color w:val="000000"/>
          <w:sz w:val="23"/>
          <w:szCs w:val="23"/>
        </w:rPr>
        <w:t>履约要求</w:t>
      </w:r>
    </w:p>
    <w:p>
      <w:pPr>
        <w:numPr>
          <w:ilvl w:val="0"/>
          <w:numId w:val="17"/>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7"/>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7"/>
        </w:numPr>
        <w:rPr>
          <w:rFonts w:ascii="宋体" w:hAnsi="宋体"/>
          <w:color w:val="000000"/>
          <w:sz w:val="23"/>
          <w:szCs w:val="23"/>
        </w:rPr>
      </w:pPr>
      <w:r>
        <w:rPr>
          <w:rFonts w:hint="eastAsia" w:ascii="宋体" w:hAnsi="宋体"/>
          <w:color w:val="000000"/>
          <w:sz w:val="23"/>
          <w:szCs w:val="23"/>
        </w:rPr>
        <w:t>质量要求：。</w:t>
      </w:r>
    </w:p>
    <w:p>
      <w:pPr>
        <w:numPr>
          <w:ilvl w:val="0"/>
          <w:numId w:val="17"/>
        </w:numPr>
        <w:rPr>
          <w:rFonts w:ascii="宋体" w:hAnsi="宋体"/>
          <w:color w:val="000000"/>
          <w:sz w:val="23"/>
          <w:szCs w:val="23"/>
        </w:rPr>
      </w:pPr>
      <w:r>
        <w:rPr>
          <w:rFonts w:hint="eastAsia" w:ascii="宋体" w:hAnsi="宋体"/>
          <w:color w:val="000000"/>
          <w:sz w:val="23"/>
          <w:szCs w:val="23"/>
        </w:rPr>
        <w:t>验收标准：。</w:t>
      </w:r>
    </w:p>
    <w:p>
      <w:pPr>
        <w:numPr>
          <w:ilvl w:val="0"/>
          <w:numId w:val="17"/>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bCs/>
          <w:color w:val="000000"/>
          <w:sz w:val="23"/>
          <w:szCs w:val="23"/>
        </w:rPr>
        <w:t>履约保证金</w:t>
      </w:r>
    </w:p>
    <w:p>
      <w:pPr>
        <w:numPr>
          <w:ilvl w:val="0"/>
          <w:numId w:val="18"/>
        </w:numPr>
        <w:rPr>
          <w:rFonts w:ascii="宋体" w:hAnsi="宋体"/>
          <w:color w:val="000000"/>
          <w:sz w:val="23"/>
          <w:szCs w:val="23"/>
        </w:rPr>
      </w:pPr>
      <w:r>
        <w:rPr>
          <w:rFonts w:hint="eastAsia" w:ascii="宋体" w:hAnsi="宋体"/>
          <w:color w:val="000000"/>
          <w:sz w:val="23"/>
          <w:szCs w:val="23"/>
        </w:rPr>
        <w:t>金额：。</w:t>
      </w:r>
    </w:p>
    <w:p>
      <w:pPr>
        <w:numPr>
          <w:ilvl w:val="0"/>
          <w:numId w:val="18"/>
        </w:numPr>
        <w:rPr>
          <w:rFonts w:ascii="宋体" w:hAnsi="宋体"/>
          <w:color w:val="000000"/>
          <w:sz w:val="23"/>
          <w:szCs w:val="23"/>
        </w:rPr>
      </w:pPr>
      <w:r>
        <w:rPr>
          <w:rFonts w:hint="eastAsia" w:ascii="宋体" w:hAnsi="宋体"/>
          <w:color w:val="000000"/>
          <w:sz w:val="23"/>
          <w:szCs w:val="23"/>
        </w:rPr>
        <w:t>交纳方式：。</w:t>
      </w:r>
    </w:p>
    <w:p>
      <w:pPr>
        <w:numPr>
          <w:ilvl w:val="0"/>
          <w:numId w:val="18"/>
        </w:numPr>
        <w:rPr>
          <w:rFonts w:ascii="宋体" w:hAnsi="宋体"/>
          <w:color w:val="000000"/>
          <w:sz w:val="23"/>
          <w:szCs w:val="23"/>
        </w:rPr>
      </w:pPr>
      <w:r>
        <w:rPr>
          <w:rFonts w:hint="eastAsia" w:ascii="宋体" w:hAnsi="宋体"/>
          <w:color w:val="000000"/>
          <w:sz w:val="23"/>
          <w:szCs w:val="23"/>
        </w:rPr>
        <w:t>用途：。</w:t>
      </w:r>
    </w:p>
    <w:p>
      <w:pPr>
        <w:numPr>
          <w:ilvl w:val="0"/>
          <w:numId w:val="18"/>
        </w:numPr>
        <w:rPr>
          <w:rFonts w:ascii="宋体" w:hAnsi="宋体"/>
          <w:color w:val="000000"/>
          <w:sz w:val="23"/>
          <w:szCs w:val="23"/>
        </w:rPr>
      </w:pPr>
      <w:r>
        <w:rPr>
          <w:rFonts w:hint="eastAsia" w:ascii="宋体" w:hAnsi="宋体"/>
          <w:color w:val="000000"/>
          <w:sz w:val="23"/>
          <w:szCs w:val="23"/>
        </w:rPr>
        <w:t>退回条件：。</w:t>
      </w:r>
    </w:p>
    <w:p>
      <w:pPr>
        <w:numPr>
          <w:ilvl w:val="0"/>
          <w:numId w:val="12"/>
        </w:numPr>
        <w:rPr>
          <w:rFonts w:ascii="宋体" w:hAnsi="宋体"/>
          <w:color w:val="000000"/>
          <w:sz w:val="23"/>
          <w:szCs w:val="23"/>
        </w:rPr>
      </w:pPr>
      <w:r>
        <w:rPr>
          <w:rFonts w:hint="eastAsia" w:ascii="宋体" w:hAnsi="宋体"/>
          <w:color w:val="000000"/>
          <w:sz w:val="23"/>
          <w:szCs w:val="23"/>
        </w:rPr>
        <w:t>甲方的权利与义务</w:t>
      </w:r>
    </w:p>
    <w:p>
      <w:pPr>
        <w:numPr>
          <w:ilvl w:val="0"/>
          <w:numId w:val="19"/>
        </w:numPr>
        <w:rPr>
          <w:rFonts w:ascii="宋体" w:hAnsi="宋体"/>
          <w:color w:val="000000"/>
          <w:sz w:val="23"/>
          <w:szCs w:val="23"/>
        </w:rPr>
      </w:pPr>
      <w:r>
        <w:rPr>
          <w:rFonts w:hint="eastAsia" w:ascii="宋体" w:hAnsi="宋体"/>
          <w:color w:val="000000"/>
          <w:sz w:val="23"/>
          <w:szCs w:val="23"/>
        </w:rPr>
        <w:t>双方的约定：。</w:t>
      </w:r>
    </w:p>
    <w:p>
      <w:pPr>
        <w:numPr>
          <w:ilvl w:val="0"/>
          <w:numId w:val="19"/>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2"/>
        </w:numPr>
        <w:rPr>
          <w:rFonts w:ascii="宋体" w:hAnsi="宋体"/>
          <w:color w:val="000000"/>
          <w:sz w:val="23"/>
          <w:szCs w:val="23"/>
        </w:rPr>
      </w:pPr>
      <w:r>
        <w:rPr>
          <w:rFonts w:hint="eastAsia" w:ascii="宋体" w:hAnsi="宋体"/>
          <w:color w:val="000000"/>
          <w:sz w:val="23"/>
          <w:szCs w:val="23"/>
        </w:rPr>
        <w:t>乙方的权利与义务</w:t>
      </w:r>
    </w:p>
    <w:p>
      <w:pPr>
        <w:numPr>
          <w:ilvl w:val="0"/>
          <w:numId w:val="20"/>
        </w:numPr>
        <w:rPr>
          <w:rFonts w:ascii="宋体" w:hAnsi="宋体"/>
          <w:color w:val="000000"/>
          <w:sz w:val="23"/>
          <w:szCs w:val="23"/>
        </w:rPr>
      </w:pPr>
      <w:r>
        <w:rPr>
          <w:rFonts w:hint="eastAsia" w:ascii="宋体" w:hAnsi="宋体"/>
          <w:color w:val="000000"/>
          <w:sz w:val="23"/>
          <w:szCs w:val="23"/>
        </w:rPr>
        <w:t>双方的约定：。</w:t>
      </w:r>
    </w:p>
    <w:p>
      <w:pPr>
        <w:numPr>
          <w:ilvl w:val="0"/>
          <w:numId w:val="20"/>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2"/>
        </w:numPr>
        <w:rPr>
          <w:rFonts w:ascii="宋体" w:hAnsi="宋体"/>
          <w:color w:val="000000"/>
          <w:sz w:val="23"/>
          <w:szCs w:val="23"/>
        </w:rPr>
      </w:pPr>
      <w:r>
        <w:rPr>
          <w:rFonts w:hint="eastAsia" w:ascii="宋体" w:hAnsi="宋体"/>
          <w:color w:val="000000"/>
          <w:sz w:val="23"/>
          <w:szCs w:val="23"/>
        </w:rPr>
        <w:t>违约处罚</w:t>
      </w:r>
    </w:p>
    <w:p>
      <w:pPr>
        <w:numPr>
          <w:ilvl w:val="0"/>
          <w:numId w:val="21"/>
        </w:numPr>
        <w:rPr>
          <w:rFonts w:ascii="宋体" w:hAnsi="宋体"/>
          <w:color w:val="000000"/>
          <w:sz w:val="23"/>
          <w:szCs w:val="23"/>
        </w:rPr>
      </w:pPr>
      <w:r>
        <w:rPr>
          <w:rFonts w:hint="eastAsia" w:ascii="宋体" w:hAnsi="宋体"/>
          <w:color w:val="000000"/>
          <w:sz w:val="23"/>
          <w:szCs w:val="23"/>
        </w:rPr>
        <w:t>双方的约定：。</w:t>
      </w:r>
    </w:p>
    <w:p>
      <w:pPr>
        <w:numPr>
          <w:ilvl w:val="0"/>
          <w:numId w:val="12"/>
        </w:numPr>
        <w:rPr>
          <w:rFonts w:ascii="宋体" w:hAnsi="宋体"/>
          <w:color w:val="000000"/>
          <w:sz w:val="23"/>
          <w:szCs w:val="23"/>
        </w:rPr>
      </w:pPr>
      <w:r>
        <w:rPr>
          <w:rFonts w:hint="eastAsia" w:ascii="宋体" w:hAnsi="宋体"/>
          <w:color w:val="000000"/>
          <w:sz w:val="23"/>
          <w:szCs w:val="23"/>
        </w:rPr>
        <w:t>免责条款</w:t>
      </w:r>
    </w:p>
    <w:p>
      <w:pPr>
        <w:numPr>
          <w:ilvl w:val="0"/>
          <w:numId w:val="22"/>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2"/>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2"/>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color w:val="000000"/>
          <w:sz w:val="23"/>
          <w:szCs w:val="23"/>
        </w:rPr>
        <w:t>争议的解决</w:t>
      </w:r>
    </w:p>
    <w:p>
      <w:pPr>
        <w:numPr>
          <w:ilvl w:val="0"/>
          <w:numId w:val="23"/>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3"/>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2"/>
        </w:numPr>
        <w:rPr>
          <w:rFonts w:ascii="宋体" w:hAnsi="宋体"/>
          <w:color w:val="000000"/>
          <w:sz w:val="23"/>
          <w:szCs w:val="23"/>
        </w:rPr>
      </w:pPr>
      <w:r>
        <w:rPr>
          <w:rFonts w:hint="eastAsia" w:ascii="宋体" w:hAnsi="宋体"/>
          <w:bCs/>
          <w:color w:val="000000"/>
          <w:sz w:val="23"/>
          <w:szCs w:val="23"/>
        </w:rPr>
        <w:t>合同生效</w:t>
      </w:r>
    </w:p>
    <w:p>
      <w:pPr>
        <w:numPr>
          <w:ilvl w:val="0"/>
          <w:numId w:val="24"/>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2"/>
        </w:numPr>
        <w:rPr>
          <w:rFonts w:ascii="宋体" w:hAnsi="宋体"/>
          <w:color w:val="000000"/>
          <w:sz w:val="23"/>
          <w:szCs w:val="23"/>
        </w:rPr>
      </w:pPr>
      <w:r>
        <w:rPr>
          <w:rFonts w:hint="eastAsia" w:ascii="宋体" w:hAnsi="宋体"/>
          <w:bCs/>
          <w:color w:val="000000"/>
          <w:sz w:val="23"/>
          <w:szCs w:val="23"/>
        </w:rPr>
        <w:t>合同的解除</w:t>
      </w:r>
    </w:p>
    <w:p>
      <w:pPr>
        <w:numPr>
          <w:ilvl w:val="0"/>
          <w:numId w:val="25"/>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5"/>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color w:val="000000"/>
          <w:sz w:val="23"/>
          <w:szCs w:val="23"/>
        </w:rPr>
        <w:t>附则</w:t>
      </w:r>
    </w:p>
    <w:p>
      <w:pPr>
        <w:numPr>
          <w:ilvl w:val="0"/>
          <w:numId w:val="26"/>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6"/>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6"/>
        </w:numPr>
        <w:rPr>
          <w:rFonts w:ascii="宋体" w:hAnsi="宋体"/>
          <w:color w:val="000000"/>
          <w:sz w:val="23"/>
          <w:szCs w:val="23"/>
        </w:rPr>
      </w:pPr>
      <w:r>
        <w:rPr>
          <w:rFonts w:hint="eastAsia" w:ascii="宋体" w:hAnsi="宋体"/>
          <w:color w:val="000000"/>
          <w:sz w:val="23"/>
          <w:szCs w:val="23"/>
        </w:rPr>
        <w:t>双方的其它约定：。</w:t>
      </w:r>
    </w:p>
    <w:p>
      <w:pPr>
        <w:numPr>
          <w:ilvl w:val="0"/>
          <w:numId w:val="12"/>
        </w:numPr>
        <w:rPr>
          <w:rFonts w:ascii="宋体" w:hAnsi="宋体"/>
          <w:color w:val="000000"/>
          <w:sz w:val="23"/>
          <w:szCs w:val="23"/>
        </w:rPr>
      </w:pPr>
      <w:r>
        <w:rPr>
          <w:rFonts w:hint="eastAsia" w:ascii="宋体" w:hAnsi="宋体"/>
          <w:color w:val="000000"/>
          <w:sz w:val="23"/>
          <w:szCs w:val="23"/>
        </w:rPr>
        <w:t>合同附件</w:t>
      </w:r>
    </w:p>
    <w:p>
      <w:pPr>
        <w:numPr>
          <w:ilvl w:val="0"/>
          <w:numId w:val="27"/>
        </w:numPr>
        <w:rPr>
          <w:rFonts w:ascii="宋体" w:hAnsi="宋体"/>
          <w:color w:val="000000"/>
          <w:sz w:val="23"/>
          <w:szCs w:val="23"/>
        </w:rPr>
      </w:pPr>
      <w:r>
        <w:rPr>
          <w:rFonts w:hint="eastAsia" w:ascii="宋体" w:hAnsi="宋体"/>
          <w:color w:val="000000"/>
          <w:sz w:val="23"/>
          <w:szCs w:val="23"/>
        </w:rPr>
        <w:t>附件一：价格明细清单。</w:t>
      </w:r>
    </w:p>
    <w:p>
      <w:pPr>
        <w:numPr>
          <w:ilvl w:val="0"/>
          <w:numId w:val="27"/>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7"/>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3"/>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3"/>
        <w:spacing w:before="0" w:after="0" w:line="240" w:lineRule="auto"/>
        <w:jc w:val="center"/>
        <w:rPr>
          <w:rFonts w:ascii="宋体" w:hAnsi="宋体"/>
          <w:color w:val="000000"/>
          <w:sz w:val="28"/>
          <w:szCs w:val="23"/>
        </w:rPr>
      </w:pPr>
      <w:r>
        <w:rPr>
          <w:b w:val="0"/>
          <w:color w:val="000000"/>
          <w:sz w:val="23"/>
          <w:szCs w:val="23"/>
        </w:rPr>
        <w:br w:type="page"/>
      </w:r>
      <w:bookmarkStart w:id="36" w:name="_Toc298242764"/>
      <w:bookmarkStart w:id="37" w:name="_Toc20964"/>
      <w:r>
        <w:rPr>
          <w:rFonts w:hint="eastAsia" w:ascii="Arial" w:hAnsi="Arial"/>
        </w:rPr>
        <w:t>第六部分  投标文件格式</w:t>
      </w:r>
      <w:bookmarkEnd w:id="36"/>
      <w:bookmarkEnd w:id="37"/>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5"/>
        <w:numPr>
          <w:ilvl w:val="0"/>
          <w:numId w:val="28"/>
        </w:numPr>
        <w:bidi w:val="0"/>
      </w:pPr>
      <w:bookmarkStart w:id="38" w:name="_Toc26404"/>
      <w:r>
        <w:rPr>
          <w:rFonts w:hint="eastAsia"/>
        </w:rPr>
        <w:t>投标函</w:t>
      </w:r>
      <w:bookmarkEnd w:id="38"/>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39" w:name="OLE_LINK4"/>
      <w:r>
        <w:rPr>
          <w:rFonts w:hint="eastAsia" w:ascii="宋体" w:hAnsi="宋体"/>
          <w:color w:val="000000"/>
          <w:sz w:val="23"/>
          <w:szCs w:val="23"/>
        </w:rPr>
        <w:t>副本</w:t>
      </w:r>
      <w:bookmarkEnd w:id="39"/>
      <w:r>
        <w:rPr>
          <w:rFonts w:hint="eastAsia" w:ascii="宋体" w:hAnsi="宋体"/>
          <w:b/>
          <w:bCs/>
          <w:color w:val="FF0000"/>
          <w:sz w:val="23"/>
          <w:szCs w:val="23"/>
          <w:u w:val="single"/>
        </w:rPr>
        <w:t>4</w:t>
      </w:r>
      <w:r>
        <w:rPr>
          <w:rFonts w:hint="eastAsia" w:ascii="宋体" w:hAnsi="宋体"/>
          <w:color w:val="000000"/>
          <w:sz w:val="23"/>
          <w:szCs w:val="23"/>
        </w:rPr>
        <w:t>套，投标文件包括如下内容：</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30"/>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30"/>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5"/>
        <w:numPr>
          <w:ilvl w:val="0"/>
          <w:numId w:val="28"/>
        </w:numPr>
        <w:bidi w:val="0"/>
      </w:pPr>
      <w:bookmarkStart w:id="40" w:name="_Toc298242766"/>
      <w:bookmarkStart w:id="41" w:name="_Toc20173"/>
      <w:r>
        <w:rPr>
          <w:rFonts w:hint="eastAsia"/>
        </w:rPr>
        <w:t>价格文件</w:t>
      </w:r>
      <w:bookmarkEnd w:id="40"/>
      <w:bookmarkEnd w:id="41"/>
    </w:p>
    <w:p>
      <w:pPr>
        <w:adjustRightInd w:val="0"/>
        <w:snapToGrid w:val="0"/>
        <w:outlineLvl w:val="0"/>
        <w:rPr>
          <w:rFonts w:ascii="宋体" w:hAnsi="宋体"/>
          <w:color w:val="000000"/>
          <w:sz w:val="23"/>
          <w:szCs w:val="23"/>
        </w:rPr>
      </w:pP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投标报价一览表</w:t>
      </w:r>
    </w:p>
    <w:p>
      <w:pPr>
        <w:pStyle w:val="2"/>
        <w:rPr>
          <w:rFonts w:hint="default" w:eastAsia="宋体"/>
          <w:lang w:val="en-US" w:eastAsia="zh-CN"/>
        </w:rPr>
      </w:pPr>
      <w:r>
        <w:rPr>
          <w:rFonts w:hint="eastAsia" w:ascii="宋体" w:hAnsi="宋体"/>
          <w:color w:val="000000"/>
          <w:sz w:val="23"/>
          <w:szCs w:val="23"/>
          <w:lang w:val="en-US" w:eastAsia="zh-CN"/>
        </w:rPr>
        <w:t xml:space="preserve">                                                   货币单位：人民币元</w:t>
      </w:r>
    </w:p>
    <w:p>
      <w:pPr>
        <w:adjustRightInd w:val="0"/>
        <w:snapToGrid w:val="0"/>
        <w:outlineLvl w:val="0"/>
        <w:rPr>
          <w:rFonts w:ascii="宋体" w:hAnsi="宋体"/>
          <w:color w:val="000000"/>
          <w:sz w:val="23"/>
          <w:szCs w:val="23"/>
        </w:rPr>
      </w:pPr>
    </w:p>
    <w:tbl>
      <w:tblPr>
        <w:tblStyle w:val="43"/>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Theme="minorEastAsia" w:hAnsiTheme="minorEastAsia" w:eastAsiaTheme="minorEastAsia"/>
                <w:b/>
                <w:bCs/>
                <w:sz w:val="24"/>
                <w:szCs w:val="24"/>
                <w:lang w:val="en-US" w:eastAsia="zh-CN"/>
              </w:rPr>
              <w:t>广州校区2021-2024年北校园图书馆弱电系统维护保养服务</w:t>
            </w:r>
            <w:r>
              <w:rPr>
                <w:rFonts w:hint="eastAsia" w:asciiTheme="minorEastAsia" w:hAnsiTheme="minorEastAsia" w:eastAsiaTheme="minorEastAsia"/>
                <w:b/>
                <w:bCs/>
                <w:sz w:val="24"/>
                <w:szCs w:val="24"/>
              </w:rPr>
              <w:t>项目</w:t>
            </w:r>
          </w:p>
        </w:tc>
      </w:tr>
      <w:tr>
        <w:tblPrEx>
          <w:tblCellMar>
            <w:top w:w="0" w:type="dxa"/>
            <w:left w:w="30" w:type="dxa"/>
            <w:bottom w:w="0" w:type="dxa"/>
            <w:right w:w="30" w:type="dxa"/>
          </w:tblCellMar>
        </w:tblPrEx>
        <w:trPr>
          <w:cantSplit/>
          <w:trHeight w:val="322"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b/>
                <w:color w:val="000000"/>
                <w:sz w:val="24"/>
              </w:rPr>
            </w:pPr>
            <w:r>
              <w:rPr>
                <w:rFonts w:hint="eastAsia" w:ascii="宋体" w:hAnsi="宋体"/>
                <w:b/>
                <w:color w:val="000000"/>
                <w:sz w:val="24"/>
              </w:rPr>
              <w:t>年度投标报价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hAnsi="宋体"/>
                <w:b/>
                <w:color w:val="000000"/>
                <w:kern w:val="0"/>
                <w:sz w:val="24"/>
                <w:u w:val="none"/>
              </w:rPr>
            </w:pPr>
            <w:r>
              <w:rPr>
                <w:rFonts w:hint="eastAsia" w:ascii="宋体" w:hAnsi="宋体"/>
                <w:b/>
                <w:color w:val="000000"/>
                <w:kern w:val="0"/>
                <w:sz w:val="24"/>
                <w:u w:val="none"/>
              </w:rPr>
              <w:t xml:space="preserve">  </w:t>
            </w:r>
          </w:p>
          <w:p>
            <w:pPr>
              <w:autoSpaceDE w:val="0"/>
              <w:autoSpaceDN w:val="0"/>
              <w:adjustRightInd w:val="0"/>
              <w:spacing w:line="480" w:lineRule="exact"/>
              <w:jc w:val="left"/>
              <w:rPr>
                <w:rFonts w:hint="eastAsia"/>
                <w:b/>
                <w:color w:val="000000"/>
                <w:sz w:val="24"/>
              </w:rPr>
            </w:pPr>
            <w:r>
              <w:rPr>
                <w:rFonts w:hint="eastAsia" w:ascii="宋体" w:hAnsi="宋体"/>
                <w:b/>
                <w:color w:val="000000"/>
                <w:kern w:val="0"/>
                <w:sz w:val="24"/>
                <w:u w:val="none"/>
              </w:rPr>
              <w:t xml:space="preserve"> </w:t>
            </w:r>
            <w:r>
              <w:rPr>
                <w:rFonts w:hint="eastAsia" w:ascii="宋体" w:hAnsi="宋体"/>
                <w:b/>
                <w:color w:val="000000"/>
                <w:kern w:val="0"/>
                <w:sz w:val="24"/>
                <w:u w:val="none"/>
                <w:lang w:val="en-US" w:eastAsia="zh-CN"/>
              </w:rPr>
              <w:t xml:space="preserve">   </w:t>
            </w:r>
            <w:r>
              <w:rPr>
                <w:rFonts w:hint="eastAsia" w:ascii="宋体" w:hAnsi="宋体"/>
                <w:b/>
                <w:color w:val="000000"/>
                <w:kern w:val="0"/>
                <w:sz w:val="24"/>
                <w:u w:val="single"/>
              </w:rPr>
              <w:t xml:space="preserve">￥                       </w:t>
            </w:r>
            <w:r>
              <w:rPr>
                <w:rFonts w:hint="eastAsia" w:ascii="宋体" w:hAnsi="宋体"/>
                <w:b/>
                <w:color w:val="000000"/>
                <w:sz w:val="24"/>
              </w:rPr>
              <w:t>元/年</w:t>
            </w:r>
          </w:p>
        </w:tc>
      </w:tr>
      <w:tr>
        <w:tblPrEx>
          <w:tblCellMar>
            <w:top w:w="0" w:type="dxa"/>
            <w:left w:w="30" w:type="dxa"/>
            <w:bottom w:w="0" w:type="dxa"/>
            <w:right w:w="30" w:type="dxa"/>
          </w:tblCellMar>
        </w:tblPrEx>
        <w:trPr>
          <w:cantSplit/>
          <w:trHeight w:val="322"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b/>
                <w:color w:val="000000"/>
                <w:sz w:val="24"/>
                <w:u w:val="single"/>
                <w:lang w:val="en-US" w:eastAsia="zh-CN"/>
              </w:rPr>
            </w:pPr>
          </w:p>
          <w:p>
            <w:pPr>
              <w:autoSpaceDE w:val="0"/>
              <w:autoSpaceDN w:val="0"/>
              <w:adjustRightInd w:val="0"/>
              <w:spacing w:line="480" w:lineRule="exact"/>
              <w:ind w:firstLine="482" w:firstLineChars="200"/>
              <w:jc w:val="left"/>
              <w:rPr>
                <w:rFonts w:hint="eastAsia"/>
                <w:b/>
                <w:color w:val="000000"/>
                <w:sz w:val="24"/>
              </w:rPr>
            </w:pPr>
            <w:r>
              <w:rPr>
                <w:rFonts w:hint="eastAsia" w:ascii="宋体"/>
                <w:b/>
                <w:color w:val="000000"/>
                <w:sz w:val="24"/>
                <w:u w:val="single"/>
              </w:rPr>
              <w:t xml:space="preserve">大写：                             </w:t>
            </w:r>
            <w:r>
              <w:rPr>
                <w:rFonts w:hint="eastAsia" w:ascii="宋体"/>
                <w:b/>
                <w:color w:val="000000"/>
                <w:sz w:val="24"/>
                <w:u w:val="none"/>
              </w:rPr>
              <w:t xml:space="preserve">          </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lang w:val="en-US" w:eastAsia="zh-CN"/>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2"/>
              <w:ind w:left="0" w:leftChars="0" w:firstLine="0" w:firstLineChars="0"/>
              <w:rPr>
                <w:rFonts w:hint="eastAsia" w:ascii="宋体"/>
                <w:b/>
                <w:color w:val="000000"/>
                <w:sz w:val="24"/>
                <w:u w:val="single"/>
              </w:rPr>
            </w:pPr>
          </w:p>
          <w:p>
            <w:pPr>
              <w:pStyle w:val="2"/>
              <w:rPr>
                <w:rFonts w:hint="eastAsia" w:ascii="宋体"/>
                <w:b/>
                <w:color w:val="000000"/>
                <w:sz w:val="24"/>
                <w:u w:val="single"/>
              </w:rPr>
            </w:pPr>
            <w:r>
              <w:rPr>
                <w:rFonts w:hint="eastAsia" w:ascii="宋体" w:hAnsi="宋体" w:eastAsia="宋体" w:cs="Times New Roman"/>
                <w:b/>
                <w:color w:val="000000"/>
                <w:kern w:val="0"/>
                <w:sz w:val="24"/>
                <w:szCs w:val="24"/>
                <w:u w:val="single"/>
                <w:lang w:val="en-US" w:eastAsia="zh-CN" w:bidi="ar-SA"/>
              </w:rPr>
              <w:t xml:space="preserve">￥  </w:t>
            </w:r>
            <w:r>
              <w:rPr>
                <w:rFonts w:hint="eastAsia" w:ascii="宋体" w:hAnsi="宋体"/>
                <w:color w:val="000000"/>
                <w:kern w:val="0"/>
                <w:sz w:val="23"/>
                <w:szCs w:val="23"/>
                <w:u w:val="single"/>
              </w:rPr>
              <w:t xml:space="preserve">                       </w:t>
            </w:r>
            <w:r>
              <w:rPr>
                <w:rFonts w:hint="eastAsia" w:ascii="宋体" w:hAnsi="宋体" w:eastAsia="宋体" w:cs="Times New Roman"/>
                <w:b/>
                <w:color w:val="000000"/>
                <w:kern w:val="2"/>
                <w:sz w:val="24"/>
                <w:szCs w:val="24"/>
                <w:lang w:val="en-US" w:eastAsia="zh-CN" w:bidi="ar-SA"/>
              </w:rPr>
              <w:t xml:space="preserve">元 </w:t>
            </w:r>
          </w:p>
          <w:p>
            <w:pPr>
              <w:pStyle w:val="2"/>
              <w:rPr>
                <w:rFonts w:hint="eastAsia"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2"/>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hint="eastAsia" w:ascii="宋体"/>
                <w:b/>
                <w:color w:val="000000"/>
                <w:sz w:val="24"/>
                <w:u w:val="single"/>
              </w:rPr>
            </w:pPr>
            <w:r>
              <w:rPr>
                <w:rFonts w:hint="eastAsia" w:ascii="宋体"/>
                <w:b/>
                <w:color w:val="000000"/>
                <w:sz w:val="24"/>
                <w:u w:val="single"/>
                <w:lang w:val="en-US" w:eastAsia="zh-CN"/>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ascii="宋体" w:hAnsi="宋体"/>
                <w:color w:val="000000"/>
                <w:kern w:val="0"/>
                <w:sz w:val="23"/>
                <w:szCs w:val="23"/>
              </w:rPr>
            </w:pPr>
            <w:r>
              <w:rPr>
                <w:rFonts w:hint="eastAsia"/>
                <w:b/>
                <w:color w:val="000000"/>
                <w:sz w:val="24"/>
              </w:rPr>
              <w:t>投标总</w:t>
            </w:r>
            <w:r>
              <w:rPr>
                <w:rFonts w:hint="eastAsia"/>
                <w:b/>
                <w:color w:val="000000"/>
                <w:sz w:val="24"/>
                <w:lang w:val="en-US" w:eastAsia="zh-CN"/>
              </w:rPr>
              <w:t>报</w:t>
            </w:r>
            <w:r>
              <w:rPr>
                <w:rFonts w:hint="eastAsia"/>
                <w:b/>
                <w:color w:val="000000"/>
                <w:sz w:val="24"/>
              </w:rPr>
              <w:t>价=年度投标报价</w:t>
            </w:r>
            <w:r>
              <w:rPr>
                <w:rFonts w:ascii="Arial" w:hAnsi="Arial" w:cs="Arial"/>
                <w:b/>
                <w:color w:val="000000"/>
                <w:sz w:val="24"/>
                <w:shd w:val="clear" w:color="auto" w:fill="FFFFFF"/>
              </w:rPr>
              <w:t>×</w:t>
            </w:r>
            <w:r>
              <w:rPr>
                <w:rFonts w:hint="eastAsia" w:ascii="Arial" w:hAnsi="Arial" w:cs="Arial"/>
                <w:b/>
                <w:color w:val="000000"/>
                <w:sz w:val="24"/>
                <w:shd w:val="clear" w:color="auto" w:fill="FFFFFF"/>
              </w:rPr>
              <w:t>3年。</w:t>
            </w:r>
          </w:p>
        </w:tc>
      </w:tr>
    </w:tbl>
    <w:p>
      <w:pPr>
        <w:pStyle w:val="24"/>
        <w:spacing w:line="480" w:lineRule="exact"/>
        <w:rPr>
          <w:rFonts w:hAnsi="宋体"/>
          <w:color w:val="000000"/>
          <w:sz w:val="23"/>
          <w:szCs w:val="23"/>
        </w:rPr>
      </w:pPr>
      <w:r>
        <w:rPr>
          <w:rFonts w:hint="eastAsia" w:hAnsi="宋体"/>
          <w:color w:val="000000"/>
          <w:sz w:val="23"/>
          <w:szCs w:val="23"/>
        </w:rPr>
        <w:t>注：</w:t>
      </w:r>
    </w:p>
    <w:p>
      <w:pPr>
        <w:pStyle w:val="24"/>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4"/>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4"/>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pPr>
        <w:rPr>
          <w:rFonts w:hint="eastAsia" w:ascii="宋体" w:hAnsi="宋体"/>
          <w:b w:val="0"/>
          <w:color w:val="000000"/>
          <w:sz w:val="23"/>
          <w:szCs w:val="23"/>
          <w:lang w:val="en-US" w:eastAsia="zh-CN"/>
        </w:rPr>
      </w:pPr>
      <w:r>
        <w:rPr>
          <w:color w:val="000000"/>
          <w:sz w:val="23"/>
          <w:szCs w:val="23"/>
        </w:rPr>
        <w:br w:type="page"/>
      </w:r>
      <w:bookmarkStart w:id="42" w:name="_Toc295727243"/>
    </w:p>
    <w:p>
      <w:pPr>
        <w:pStyle w:val="5"/>
        <w:numPr>
          <w:ilvl w:val="0"/>
          <w:numId w:val="31"/>
        </w:numPr>
        <w:tabs>
          <w:tab w:val="left" w:pos="0"/>
        </w:tabs>
        <w:bidi w:val="0"/>
        <w:rPr>
          <w:rFonts w:hint="eastAsia"/>
        </w:rPr>
      </w:pPr>
      <w:bookmarkStart w:id="43" w:name="_Toc7488"/>
      <w:bookmarkStart w:id="44" w:name="_Toc59630614"/>
      <w:bookmarkStart w:id="45" w:name="_Toc295727241"/>
      <w:r>
        <w:rPr>
          <w:rFonts w:hint="eastAsia"/>
        </w:rPr>
        <w:t>技术文件</w:t>
      </w:r>
      <w:bookmarkEnd w:id="43"/>
      <w:bookmarkEnd w:id="44"/>
      <w:bookmarkEnd w:id="45"/>
    </w:p>
    <w:p>
      <w:pPr>
        <w:numPr>
          <w:ilvl w:val="0"/>
          <w:numId w:val="0"/>
        </w:numPr>
        <w:spacing w:line="560" w:lineRule="exact"/>
        <w:jc w:val="left"/>
        <w:rPr>
          <w:rFonts w:ascii="宋体" w:hAnsi="宋体"/>
          <w:b/>
          <w:color w:val="000000"/>
          <w:sz w:val="24"/>
          <w:szCs w:val="24"/>
        </w:rPr>
      </w:pPr>
      <w:r>
        <w:rPr>
          <w:rFonts w:hint="eastAsia" w:ascii="宋体" w:hAnsi="宋体"/>
          <w:b/>
          <w:color w:val="000000"/>
          <w:sz w:val="24"/>
          <w:szCs w:val="24"/>
          <w:lang w:val="en-US" w:eastAsia="zh-CN"/>
        </w:rPr>
        <w:t>6.3.1</w:t>
      </w:r>
      <w:r>
        <w:rPr>
          <w:rFonts w:hint="eastAsia" w:ascii="宋体" w:hAnsi="宋体"/>
          <w:b/>
          <w:color w:val="000000"/>
          <w:sz w:val="24"/>
          <w:szCs w:val="24"/>
        </w:rPr>
        <w:t>一般技术响应表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752" w:type="dxa"/>
            <w:noWrap w:val="0"/>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noWrap w:val="0"/>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noWrap w:val="0"/>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1</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2</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3</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4</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5</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6</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7</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8</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1、投标人必须对应招标文件第二部分《项目内容及需求》中“2.</w:t>
      </w:r>
      <w:r>
        <w:rPr>
          <w:rFonts w:hint="eastAsia" w:ascii="宋体" w:hAnsi="宋体"/>
          <w:color w:val="000000"/>
          <w:szCs w:val="21"/>
          <w:lang w:val="en-US" w:eastAsia="zh-CN"/>
        </w:rPr>
        <w:t>1.4-2.1.7各条款</w:t>
      </w:r>
      <w:r>
        <w:rPr>
          <w:rFonts w:hint="eastAsia" w:ascii="宋体" w:hAnsi="宋体"/>
          <w:color w:val="000000"/>
          <w:szCs w:val="21"/>
        </w:rPr>
        <w:t>”的一般技术要求的有关内容逐条响应。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hint="default" w:ascii="宋体" w:hAnsi="宋体" w:eastAsia="宋体"/>
          <w:b w:val="0"/>
          <w:color w:val="000000"/>
          <w:sz w:val="23"/>
          <w:szCs w:val="23"/>
          <w:lang w:val="en-US" w:eastAsia="zh-CN"/>
        </w:rPr>
      </w:pPr>
      <w:r>
        <w:rPr>
          <w:rFonts w:hint="eastAsia" w:ascii="宋体" w:hAnsi="宋体"/>
          <w:color w:val="000000"/>
          <w:szCs w:val="21"/>
          <w:lang w:val="en-US" w:eastAsia="zh-CN"/>
        </w:rPr>
        <w:t>4、</w:t>
      </w:r>
      <w:r>
        <w:rPr>
          <w:rFonts w:hint="eastAsia" w:ascii="宋体" w:hAnsi="宋体"/>
          <w:b w:val="0"/>
          <w:color w:val="000000"/>
          <w:sz w:val="23"/>
          <w:szCs w:val="23"/>
          <w:lang w:val="en-US" w:eastAsia="zh-CN"/>
        </w:rPr>
        <w:t>以上所有文件均需加盖投标人公章。</w:t>
      </w:r>
    </w:p>
    <w:p>
      <w:pPr>
        <w:spacing w:line="0" w:lineRule="atLeast"/>
        <w:ind w:left="525" w:leftChars="100" w:hanging="315" w:hangingChars="150"/>
        <w:rPr>
          <w:rFonts w:hint="eastAsia" w:ascii="宋体" w:hAnsi="宋体"/>
          <w:color w:val="000000"/>
          <w:szCs w:val="21"/>
          <w:lang w:val="en-US" w:eastAsia="zh-CN"/>
        </w:rPr>
      </w:pPr>
    </w:p>
    <w:p>
      <w:pPr>
        <w:rPr>
          <w:rFonts w:hint="eastAsia" w:ascii="宋体" w:hAnsi="宋体" w:eastAsia="宋体"/>
          <w:b/>
          <w:color w:val="000000"/>
          <w:sz w:val="24"/>
          <w:lang w:val="en-US" w:eastAsia="zh-CN"/>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hint="default"/>
          <w:lang w:val="en-US" w:eastAsia="zh-CN"/>
        </w:rPr>
      </w:pPr>
    </w:p>
    <w:p>
      <w:pPr>
        <w:pStyle w:val="2"/>
        <w:rPr>
          <w:rFonts w:ascii="宋体" w:hAnsi="宋体"/>
          <w:b w:val="0"/>
          <w:color w:val="000000"/>
          <w:sz w:val="23"/>
          <w:szCs w:val="23"/>
        </w:rPr>
      </w:pPr>
    </w:p>
    <w:p>
      <w:pPr>
        <w:numPr>
          <w:ilvl w:val="0"/>
          <w:numId w:val="0"/>
        </w:numPr>
        <w:spacing w:line="360" w:lineRule="auto"/>
        <w:ind w:leftChars="0"/>
        <w:rPr>
          <w:rFonts w:hint="eastAsia" w:ascii="宋体" w:hAnsi="宋体"/>
          <w:b/>
          <w:color w:val="000000"/>
          <w:sz w:val="28"/>
          <w:szCs w:val="28"/>
        </w:rPr>
      </w:pPr>
      <w:bookmarkStart w:id="46" w:name="_Toc28300"/>
      <w:r>
        <w:rPr>
          <w:rFonts w:hint="eastAsia" w:ascii="宋体" w:hAnsi="宋体"/>
          <w:b/>
          <w:color w:val="000000"/>
          <w:sz w:val="28"/>
          <w:szCs w:val="28"/>
          <w:lang w:val="en-US" w:eastAsia="zh-CN"/>
        </w:rPr>
        <w:t>6.3.2</w:t>
      </w:r>
      <w:r>
        <w:rPr>
          <w:rFonts w:hint="eastAsia" w:ascii="宋体" w:hAnsi="宋体"/>
          <w:b/>
          <w:color w:val="000000"/>
          <w:sz w:val="28"/>
          <w:szCs w:val="28"/>
        </w:rPr>
        <w:t>实质性响应条款（“</w:t>
      </w:r>
      <w:r>
        <w:rPr>
          <w:rFonts w:hint="eastAsia" w:ascii="宋体" w:hAnsi="宋体" w:cs="宋体"/>
          <w:color w:val="000000"/>
          <w:sz w:val="28"/>
          <w:szCs w:val="28"/>
        </w:rPr>
        <w:t>★</w:t>
      </w:r>
      <w:r>
        <w:rPr>
          <w:rFonts w:hint="eastAsia" w:ascii="宋体" w:hAnsi="宋体"/>
          <w:b/>
          <w:color w:val="000000"/>
          <w:sz w:val="28"/>
          <w:szCs w:val="28"/>
        </w:rPr>
        <w:t>”项）响应表</w:t>
      </w:r>
    </w:p>
    <w:p>
      <w:pPr>
        <w:spacing w:line="360" w:lineRule="auto"/>
        <w:ind w:left="1589"/>
        <w:rPr>
          <w:rFonts w:ascii="宋体" w:hAnsi="宋体"/>
          <w:b/>
          <w:color w:val="000000"/>
          <w:sz w:val="28"/>
          <w:szCs w:val="2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407"/>
        <w:gridCol w:w="739"/>
        <w:gridCol w:w="1075"/>
        <w:gridCol w:w="521"/>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rFonts w:ascii="宋体" w:hAnsi="宋体"/>
                <w:b/>
                <w:color w:val="000000"/>
                <w:szCs w:val="21"/>
              </w:rPr>
            </w:pPr>
            <w:r>
              <w:rPr>
                <w:rFonts w:hint="eastAsia" w:ascii="宋体" w:hAnsi="宋体"/>
                <w:b/>
                <w:color w:val="000000"/>
                <w:szCs w:val="21"/>
              </w:rPr>
              <w:t>序号</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招标要求</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按投标实际响应情况填写</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0" w:type="auto"/>
            <w:noWrap w:val="0"/>
            <w:vAlign w:val="center"/>
          </w:tcPr>
          <w:p>
            <w:pPr>
              <w:spacing w:line="360" w:lineRule="auto"/>
              <w:jc w:val="center"/>
              <w:rPr>
                <w:rFonts w:ascii="宋体" w:hAnsi="宋体"/>
                <w:b/>
                <w:bCs/>
                <w:color w:val="000000"/>
                <w:szCs w:val="21"/>
              </w:rPr>
            </w:pPr>
            <w:r>
              <w:rPr>
                <w:rFonts w:hint="eastAsia" w:ascii="宋体" w:hAnsi="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ascii="宋体" w:hAnsi="宋体"/>
                <w:color w:val="000000"/>
                <w:szCs w:val="21"/>
              </w:rPr>
            </w:pPr>
            <w:r>
              <w:rPr>
                <w:rFonts w:hint="eastAsia" w:ascii="宋体" w:hAnsi="宋体"/>
                <w:color w:val="000000"/>
                <w:szCs w:val="21"/>
              </w:rPr>
              <w:t>1</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szCs w:val="21"/>
              </w:rPr>
            </w:pPr>
            <w:r>
              <w:rPr>
                <w:rFonts w:ascii="宋体" w:hAnsi="宋体" w:cs="宋体"/>
                <w:szCs w:val="21"/>
              </w:rPr>
              <w:t>★</w:t>
            </w:r>
            <w:r>
              <w:rPr>
                <w:rFonts w:hint="eastAsia" w:ascii="宋体" w:hAnsi="宋体" w:eastAsia="宋体" w:cs="Times New Roman"/>
                <w:color w:val="000000"/>
                <w:kern w:val="2"/>
                <w:sz w:val="21"/>
                <w:szCs w:val="21"/>
                <w:lang w:val="en-US" w:eastAsia="zh-CN" w:bidi="ar-SA"/>
              </w:rPr>
              <w:t>在合同期内，采购人有可能更换、大修或少量新增广州校区图书馆弱电系统设施设备，更换、大修及新增后的设施设备仍然属于本项目弱电系统设备设施维保服务范围内，不论各类弱电设备设施的规格型号是否变化、数量是否增加，均不再增加额外维保费用，各投标人自行测算报价时应充分考虑相关因素。</w:t>
            </w: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2</w:t>
            </w:r>
          </w:p>
        </w:tc>
        <w:tc>
          <w:tcPr>
            <w:tcW w:w="0" w:type="auto"/>
            <w:noWrap w:val="0"/>
            <w:vAlign w:val="center"/>
          </w:tcPr>
          <w:p>
            <w:pPr>
              <w:spacing w:line="360" w:lineRule="auto"/>
              <w:jc w:val="left"/>
              <w:rPr>
                <w:rFonts w:hint="eastAsia" w:ascii="宋体" w:hAnsi="宋体"/>
                <w:szCs w:val="21"/>
              </w:rPr>
            </w:pPr>
            <w:r>
              <w:rPr>
                <w:rFonts w:ascii="宋体" w:hAnsi="宋体" w:cs="宋体"/>
                <w:szCs w:val="21"/>
              </w:rPr>
              <w:t>★</w:t>
            </w:r>
            <w:r>
              <w:rPr>
                <w:rFonts w:hint="eastAsia" w:ascii="宋体" w:hAnsi="宋体" w:eastAsia="宋体" w:cs="Times New Roman"/>
                <w:color w:val="000000"/>
                <w:kern w:val="2"/>
                <w:sz w:val="21"/>
                <w:szCs w:val="21"/>
                <w:lang w:val="en-US" w:eastAsia="zh-CN" w:bidi="ar-SA"/>
              </w:rPr>
              <w:t>对出现的设备故障，由供应商编制维修方案和费用预算，采购人审核同意后，单次维修200元（含）以内的设备材料费由供应商承担和由供应商免费安装。单次维修200元以上的设备材料和安装费可采用议价的方式向供应商采购，也可由采购人负责提供，由供应商安装调试，安装费采用议价形式确定，议价方式根据《后勤处采购管理实施办法》，双方就采购的项目价格、服务、要求进行商议。</w:t>
            </w: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见（）页</w:t>
            </w:r>
          </w:p>
        </w:tc>
      </w:tr>
    </w:tbl>
    <w:p>
      <w:pPr>
        <w:rPr>
          <w:rFonts w:ascii="宋体" w:hAnsi="宋体"/>
          <w:color w:val="000000"/>
          <w:szCs w:val="21"/>
        </w:rPr>
      </w:pPr>
      <w:r>
        <w:rPr>
          <w:rFonts w:hint="eastAsia" w:ascii="宋体" w:hAnsi="宋体"/>
          <w:color w:val="000000"/>
          <w:szCs w:val="21"/>
        </w:rPr>
        <w:t>注：</w:t>
      </w:r>
    </w:p>
    <w:p>
      <w:pPr>
        <w:rPr>
          <w:rFonts w:ascii="宋体" w:hAnsi="宋体"/>
          <w:color w:val="000000"/>
          <w:szCs w:val="21"/>
          <w:lang w:val="en-GB"/>
        </w:rPr>
      </w:pPr>
      <w:r>
        <w:rPr>
          <w:rFonts w:hint="eastAsia" w:ascii="宋体" w:hAnsi="宋体"/>
          <w:color w:val="000000"/>
          <w:szCs w:val="21"/>
        </w:rPr>
        <w:t>1、投标人须对应招标文件“采购项目内容”中的</w:t>
      </w:r>
      <w:r>
        <w:rPr>
          <w:rFonts w:hint="eastAsia" w:ascii="宋体" w:hAnsi="宋体"/>
          <w:color w:val="000000"/>
          <w:szCs w:val="21"/>
          <w:lang w:val="en-GB"/>
        </w:rPr>
        <w:t>“</w:t>
      </w:r>
      <w:r>
        <w:rPr>
          <w:rFonts w:hint="eastAsia" w:ascii="宋体" w:hAnsi="宋体" w:cs="宋体"/>
          <w:color w:val="000000"/>
          <w:szCs w:val="21"/>
        </w:rPr>
        <w:t>★</w:t>
      </w:r>
      <w:r>
        <w:rPr>
          <w:rFonts w:hint="eastAsia" w:ascii="宋体" w:hAnsi="宋体"/>
          <w:color w:val="000000"/>
          <w:szCs w:val="21"/>
          <w:lang w:val="en-GB"/>
        </w:rPr>
        <w:t>”项</w:t>
      </w:r>
      <w:r>
        <w:rPr>
          <w:rFonts w:hint="eastAsia" w:ascii="宋体" w:hAnsi="宋体"/>
          <w:color w:val="000000"/>
          <w:szCs w:val="21"/>
        </w:rPr>
        <w:t>内容逐条响应。如有缺漏，缺漏项视同不符合招标要求。</w:t>
      </w:r>
      <w:r>
        <w:rPr>
          <w:rFonts w:hint="eastAsia" w:ascii="宋体" w:hAnsi="宋体"/>
          <w:color w:val="000000"/>
          <w:szCs w:val="21"/>
          <w:lang w:val="en-GB"/>
        </w:rPr>
        <w:t>打“</w:t>
      </w:r>
      <w:r>
        <w:rPr>
          <w:rFonts w:hint="eastAsia" w:ascii="宋体" w:hAnsi="宋体" w:cs="宋体"/>
          <w:color w:val="000000"/>
          <w:szCs w:val="21"/>
        </w:rPr>
        <w:t>★</w:t>
      </w:r>
      <w:r>
        <w:rPr>
          <w:rFonts w:hint="eastAsia" w:ascii="宋体" w:hAnsi="宋体"/>
          <w:color w:val="000000"/>
          <w:szCs w:val="21"/>
          <w:lang w:val="en-GB"/>
        </w:rPr>
        <w:t>”项为不可负偏离的重要项。</w:t>
      </w:r>
    </w:p>
    <w:p>
      <w:pPr>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投标人响应采购需求应具体、明确，含糊不清、不确切或伪造、变造证明材料的，按照不完全响应或者完全不响应处理。</w:t>
      </w:r>
    </w:p>
    <w:p>
      <w:pPr>
        <w:rPr>
          <w:rFonts w:ascii="宋体" w:hAnsi="宋体"/>
          <w:color w:val="000000"/>
          <w:szCs w:val="21"/>
        </w:rPr>
      </w:pPr>
      <w:r>
        <w:rPr>
          <w:rFonts w:hint="eastAsia" w:ascii="宋体" w:hAnsi="宋体"/>
          <w:color w:val="000000"/>
          <w:szCs w:val="21"/>
          <w:lang w:val="en-GB"/>
        </w:rPr>
        <w:t>3、本表内容不得擅自修改。</w:t>
      </w:r>
    </w:p>
    <w:p>
      <w:pPr>
        <w:spacing w:line="560" w:lineRule="exact"/>
        <w:rPr>
          <w:rFonts w:hint="eastAsia" w:ascii="宋体" w:hAnsi="宋体"/>
          <w:b/>
          <w:color w:val="000000"/>
          <w:sz w:val="28"/>
          <w:szCs w:val="28"/>
        </w:rPr>
      </w:pPr>
      <w:r>
        <w:rPr>
          <w:rFonts w:hint="eastAsia" w:ascii="宋体" w:hAnsi="宋体"/>
          <w:b/>
          <w:color w:val="000000"/>
          <w:szCs w:val="21"/>
          <w:lang w:val="en-GB"/>
        </w:rPr>
        <w:t>4、</w:t>
      </w:r>
      <w:r>
        <w:rPr>
          <w:rFonts w:hint="eastAsia" w:ascii="宋体" w:hAnsi="宋体"/>
          <w:b/>
          <w:color w:val="000000"/>
          <w:szCs w:val="21"/>
        </w:rPr>
        <w:t>如有要求提供授权证明文件、承诺等</w:t>
      </w:r>
      <w:r>
        <w:rPr>
          <w:rFonts w:hint="eastAsia" w:ascii="宋体" w:hAnsi="宋体"/>
          <w:b/>
          <w:color w:val="000000"/>
          <w:szCs w:val="21"/>
          <w:lang w:val="en-GB"/>
        </w:rPr>
        <w:t>，请附授权证明文件、承诺函，并注明在投标文件第几页。</w:t>
      </w:r>
    </w:p>
    <w:p>
      <w:pPr>
        <w:numPr>
          <w:ilvl w:val="0"/>
          <w:numId w:val="0"/>
        </w:numPr>
        <w:spacing w:line="560" w:lineRule="exact"/>
        <w:ind w:left="568" w:leftChars="0"/>
        <w:rPr>
          <w:rFonts w:hint="eastAsia" w:ascii="宋体" w:hAnsi="宋体"/>
          <w:b/>
          <w:color w:val="000000"/>
          <w:sz w:val="28"/>
          <w:szCs w:val="28"/>
        </w:rPr>
      </w:pPr>
    </w:p>
    <w:p>
      <w:pPr>
        <w:numPr>
          <w:ilvl w:val="0"/>
          <w:numId w:val="0"/>
        </w:numPr>
        <w:spacing w:line="560" w:lineRule="exact"/>
        <w:ind w:left="568" w:leftChars="0"/>
        <w:rPr>
          <w:rFonts w:hint="eastAsia" w:ascii="宋体" w:hAnsi="宋体"/>
          <w:b/>
          <w:color w:val="000000"/>
          <w:sz w:val="28"/>
          <w:szCs w:val="28"/>
        </w:rPr>
      </w:pPr>
    </w:p>
    <w:p>
      <w:pPr>
        <w:numPr>
          <w:ilvl w:val="0"/>
          <w:numId w:val="0"/>
        </w:numPr>
        <w:spacing w:line="560" w:lineRule="exact"/>
        <w:rPr>
          <w:rFonts w:ascii="宋体" w:hAnsi="宋体"/>
          <w:b/>
          <w:color w:val="000000"/>
          <w:sz w:val="28"/>
          <w:szCs w:val="28"/>
        </w:rPr>
      </w:pPr>
      <w:r>
        <w:rPr>
          <w:rFonts w:hint="eastAsia" w:ascii="宋体" w:hAnsi="宋体"/>
          <w:b/>
          <w:color w:val="000000"/>
          <w:sz w:val="28"/>
          <w:szCs w:val="28"/>
          <w:lang w:val="en-US" w:eastAsia="zh-CN"/>
        </w:rPr>
        <w:t xml:space="preserve">6.3.3 </w:t>
      </w:r>
      <w:r>
        <w:rPr>
          <w:rFonts w:hint="eastAsia" w:ascii="宋体" w:hAnsi="宋体"/>
          <w:b/>
          <w:color w:val="000000"/>
          <w:sz w:val="28"/>
          <w:szCs w:val="28"/>
        </w:rPr>
        <w:t>详细的技术文件</w:t>
      </w:r>
    </w:p>
    <w:p>
      <w:pPr>
        <w:adjustRightInd w:val="0"/>
        <w:snapToGrid w:val="0"/>
        <w:rPr>
          <w:rFonts w:ascii="宋体" w:hAnsi="宋体"/>
          <w:color w:val="000000"/>
          <w:kern w:val="0"/>
          <w:sz w:val="24"/>
        </w:rPr>
      </w:pPr>
    </w:p>
    <w:p>
      <w:pPr>
        <w:spacing w:line="500" w:lineRule="exact"/>
        <w:ind w:firstLine="480"/>
        <w:rPr>
          <w:rFonts w:hint="eastAsia" w:ascii="宋体" w:hAnsi="宋体"/>
          <w:color w:val="000000"/>
          <w:sz w:val="24"/>
        </w:rPr>
      </w:pPr>
      <w:r>
        <w:rPr>
          <w:rFonts w:hint="eastAsia" w:ascii="宋体" w:hAnsi="宋体"/>
          <w:color w:val="000000"/>
          <w:sz w:val="24"/>
        </w:rPr>
        <w:t>投标人应对照《项目内容及需求》中的 “2.</w:t>
      </w:r>
      <w:r>
        <w:rPr>
          <w:rFonts w:hint="eastAsia" w:ascii="宋体" w:hAnsi="宋体"/>
          <w:color w:val="000000"/>
          <w:sz w:val="24"/>
          <w:lang w:val="en-US" w:eastAsia="zh-CN"/>
        </w:rPr>
        <w:t>1.4-2.1.7各条款</w:t>
      </w:r>
      <w:r>
        <w:rPr>
          <w:rFonts w:hint="eastAsia" w:ascii="宋体" w:hAnsi="宋体"/>
          <w:color w:val="000000"/>
          <w:sz w:val="24"/>
        </w:rPr>
        <w:t>”及 《技术评分表》、，逐一对本项目技术要求提供书面响应：</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技术</w:t>
      </w:r>
      <w:r>
        <w:rPr>
          <w:rFonts w:hint="eastAsia" w:ascii="宋体" w:hAnsi="宋体"/>
          <w:color w:val="000000"/>
          <w:sz w:val="24"/>
          <w:lang w:val="en-US" w:eastAsia="zh-CN"/>
        </w:rPr>
        <w:t>响应程度</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技术服务团队</w:t>
      </w:r>
      <w:r>
        <w:rPr>
          <w:rFonts w:hint="eastAsia" w:ascii="宋体" w:hAnsi="宋体"/>
          <w:color w:val="000000"/>
          <w:sz w:val="24"/>
        </w:rPr>
        <w:t>。</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服务承诺及优惠承诺</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维保方案。</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应急方案</w:t>
      </w:r>
      <w:r>
        <w:rPr>
          <w:rFonts w:hint="eastAsia" w:ascii="宋体" w:hAnsi="宋体"/>
          <w:color w:val="000000"/>
          <w:sz w:val="24"/>
          <w:lang w:val="en-US" w:eastAsia="zh-CN"/>
        </w:rPr>
        <w:t>与质量保证措施</w:t>
      </w:r>
      <w:r>
        <w:rPr>
          <w:rFonts w:hint="eastAsia" w:ascii="宋体" w:hAnsi="宋体"/>
          <w:color w:val="000000"/>
          <w:sz w:val="24"/>
        </w:rPr>
        <w:t>。</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本地化服务</w:t>
      </w:r>
      <w:r>
        <w:rPr>
          <w:rFonts w:hint="eastAsia" w:ascii="宋体" w:hAnsi="宋体"/>
          <w:color w:val="000000"/>
          <w:sz w:val="24"/>
        </w:rPr>
        <w:t>。</w:t>
      </w:r>
    </w:p>
    <w:p>
      <w:pPr>
        <w:numPr>
          <w:ilvl w:val="0"/>
          <w:numId w:val="32"/>
        </w:numPr>
        <w:spacing w:line="480" w:lineRule="exact"/>
        <w:ind w:left="1276" w:hanging="850"/>
        <w:rPr>
          <w:rFonts w:hint="eastAsia" w:ascii="宋体" w:hAnsi="宋体"/>
          <w:color w:val="000000"/>
          <w:sz w:val="24"/>
        </w:rPr>
      </w:pPr>
      <w:r>
        <w:rPr>
          <w:rFonts w:hint="eastAsia" w:ascii="宋体" w:hAnsi="宋体"/>
          <w:color w:val="000000"/>
          <w:sz w:val="24"/>
        </w:rPr>
        <w:t>其他技术文件。</w:t>
      </w:r>
    </w:p>
    <w:p>
      <w:pPr>
        <w:spacing w:line="480" w:lineRule="exact"/>
        <w:rPr>
          <w:rFonts w:hint="eastAsia" w:ascii="宋体" w:hAnsi="宋体"/>
          <w:color w:val="000000"/>
          <w:sz w:val="24"/>
        </w:rPr>
      </w:pPr>
    </w:p>
    <w:p>
      <w:pPr>
        <w:spacing w:line="480" w:lineRule="exact"/>
        <w:jc w:val="center"/>
        <w:rPr>
          <w:rFonts w:hint="eastAsia"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hint="eastAsia" w:ascii="宋体" w:hAnsi="宋体"/>
          <w:b/>
          <w:color w:val="000000"/>
          <w:sz w:val="28"/>
          <w:szCs w:val="28"/>
          <w:u w:val="single"/>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pStyle w:val="5"/>
        <w:numPr>
          <w:ilvl w:val="0"/>
          <w:numId w:val="0"/>
        </w:numPr>
        <w:bidi w:val="0"/>
        <w:ind w:leftChars="0"/>
        <w:rPr>
          <w:rFonts w:hint="eastAsia" w:ascii="Arial" w:hAnsi="Arial"/>
          <w:lang w:val="en-US" w:eastAsia="zh-CN"/>
        </w:rPr>
      </w:pPr>
    </w:p>
    <w:p>
      <w:pPr>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pStyle w:val="2"/>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p>
    <w:p>
      <w:pPr>
        <w:rPr>
          <w:rFonts w:hint="eastAsia"/>
          <w:lang w:val="en-US" w:eastAsia="zh-CN"/>
        </w:rPr>
      </w:pPr>
    </w:p>
    <w:p>
      <w:pPr>
        <w:pStyle w:val="5"/>
        <w:numPr>
          <w:ilvl w:val="0"/>
          <w:numId w:val="0"/>
        </w:numPr>
        <w:bidi w:val="0"/>
        <w:ind w:leftChars="0"/>
        <w:rPr>
          <w:rFonts w:hint="eastAsia" w:ascii="Arial" w:hAnsi="Arial"/>
          <w:lang w:val="en-US" w:eastAsia="zh-CN"/>
        </w:rPr>
      </w:pPr>
      <w:r>
        <w:rPr>
          <w:rFonts w:hint="eastAsia" w:ascii="Arial" w:hAnsi="Arial"/>
          <w:lang w:val="en-US" w:eastAsia="zh-CN"/>
        </w:rPr>
        <w:t>6.4 商务文件</w:t>
      </w:r>
      <w:bookmarkEnd w:id="46"/>
    </w:p>
    <w:p>
      <w:pPr>
        <w:numPr>
          <w:ilvl w:val="0"/>
          <w:numId w:val="0"/>
        </w:numPr>
        <w:spacing w:line="560" w:lineRule="exact"/>
        <w:ind w:leftChars="0"/>
        <w:jc w:val="left"/>
        <w:rPr>
          <w:rFonts w:ascii="宋体" w:hAnsi="宋体"/>
          <w:b/>
          <w:color w:val="000000"/>
          <w:sz w:val="24"/>
          <w:szCs w:val="24"/>
        </w:rPr>
      </w:pPr>
      <w:r>
        <w:rPr>
          <w:rFonts w:hint="eastAsia" w:ascii="宋体" w:hAnsi="宋体"/>
          <w:b/>
          <w:color w:val="000000"/>
          <w:sz w:val="24"/>
          <w:szCs w:val="24"/>
          <w:lang w:val="en-US" w:eastAsia="zh-CN"/>
        </w:rPr>
        <w:t>6.4.1</w:t>
      </w:r>
      <w:r>
        <w:rPr>
          <w:rFonts w:hint="eastAsia" w:ascii="宋体" w:hAnsi="宋体"/>
          <w:b/>
          <w:color w:val="000000"/>
          <w:sz w:val="24"/>
          <w:szCs w:val="24"/>
        </w:rPr>
        <w:t>商务响应表</w:t>
      </w:r>
    </w:p>
    <w:p>
      <w:pPr>
        <w:rPr>
          <w:color w:val="000000"/>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noWrap w:val="0"/>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noWrap w:val="0"/>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noWrap w:val="0"/>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noWrap w:val="0"/>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w:t>
            </w:r>
          </w:p>
        </w:tc>
        <w:tc>
          <w:tcPr>
            <w:tcW w:w="1694" w:type="dxa"/>
            <w:noWrap w:val="0"/>
            <w:vAlign w:val="center"/>
          </w:tcPr>
          <w:p>
            <w:pPr>
              <w:rPr>
                <w:rFonts w:ascii="宋体" w:hAnsi="宋体"/>
                <w:color w:val="000000"/>
                <w:szCs w:val="21"/>
              </w:rPr>
            </w:pPr>
          </w:p>
        </w:tc>
        <w:tc>
          <w:tcPr>
            <w:tcW w:w="253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2</w:t>
            </w:r>
          </w:p>
        </w:tc>
        <w:tc>
          <w:tcPr>
            <w:tcW w:w="1694" w:type="dxa"/>
            <w:noWrap w:val="0"/>
            <w:vAlign w:val="center"/>
          </w:tcPr>
          <w:p>
            <w:pPr>
              <w:rPr>
                <w:rFonts w:ascii="宋体" w:hAnsi="宋体"/>
                <w:color w:val="000000"/>
                <w:szCs w:val="21"/>
              </w:rPr>
            </w:pPr>
          </w:p>
        </w:tc>
        <w:tc>
          <w:tcPr>
            <w:tcW w:w="253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5"/>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3</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rPr>
                <w:rFonts w:ascii="宋体" w:hAnsi="宋体"/>
                <w:color w:val="000000"/>
                <w:szCs w:val="21"/>
              </w:rPr>
            </w:pPr>
            <w:r>
              <w:rPr>
                <w:rFonts w:hint="eastAsia" w:ascii="宋体" w:hAnsi="宋体"/>
                <w:color w:val="000000"/>
                <w:szCs w:val="21"/>
              </w:rPr>
              <w:t xml:space="preserve">  4</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5</w:t>
            </w:r>
          </w:p>
        </w:tc>
        <w:tc>
          <w:tcPr>
            <w:tcW w:w="1694" w:type="dxa"/>
            <w:noWrap w:val="0"/>
            <w:vAlign w:val="center"/>
          </w:tcPr>
          <w:p>
            <w:pPr>
              <w:rPr>
                <w:rFonts w:ascii="宋体" w:hAnsi="宋体"/>
                <w:i/>
                <w:iCs/>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6</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7</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8</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9</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10</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1、投标人必须对应招标文件第二部分《项目内容及需求》中“2.</w:t>
      </w:r>
      <w:r>
        <w:rPr>
          <w:rFonts w:hint="eastAsia" w:ascii="宋体" w:hAnsi="宋体"/>
          <w:color w:val="000000"/>
          <w:szCs w:val="21"/>
          <w:lang w:val="en-US" w:eastAsia="zh-CN"/>
        </w:rPr>
        <w:t>2</w:t>
      </w:r>
      <w:r>
        <w:rPr>
          <w:rFonts w:hint="eastAsia" w:ascii="宋体" w:hAnsi="宋体"/>
          <w:color w:val="000000"/>
          <w:szCs w:val="21"/>
        </w:rPr>
        <w:t>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2"/>
        <w:ind w:left="0" w:leftChars="0" w:firstLine="0" w:firstLineChars="0"/>
        <w:rPr>
          <w:rFonts w:hint="default" w:ascii="宋体" w:hAnsi="宋体"/>
          <w:b w:val="0"/>
          <w:color w:val="000000"/>
          <w:sz w:val="23"/>
          <w:szCs w:val="23"/>
          <w:lang w:val="en-US" w:eastAsia="zh-CN"/>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6.4.2 详细的商务文件</w:t>
      </w:r>
    </w:p>
    <w:p>
      <w:pPr>
        <w:spacing w:line="360" w:lineRule="auto"/>
        <w:ind w:firstLine="480" w:firstLineChars="200"/>
        <w:rPr>
          <w:rFonts w:ascii="宋体" w:hAnsi="宋体"/>
          <w:color w:val="000000"/>
          <w:sz w:val="24"/>
        </w:rPr>
      </w:pPr>
      <w:r>
        <w:rPr>
          <w:rFonts w:hint="eastAsia" w:ascii="宋体" w:hAnsi="宋体"/>
          <w:color w:val="000000"/>
          <w:sz w:val="24"/>
        </w:rPr>
        <w:t>投标人应对照《项目内容及需求》中的 “2.</w:t>
      </w:r>
      <w:r>
        <w:rPr>
          <w:rFonts w:hint="eastAsia" w:ascii="宋体" w:hAnsi="宋体"/>
          <w:color w:val="000000"/>
          <w:sz w:val="24"/>
          <w:lang w:val="en-US" w:eastAsia="zh-CN"/>
        </w:rPr>
        <w:t>2</w:t>
      </w:r>
      <w:r>
        <w:rPr>
          <w:rFonts w:hint="eastAsia" w:ascii="宋体" w:hAnsi="宋体"/>
          <w:color w:val="000000"/>
          <w:sz w:val="24"/>
        </w:rPr>
        <w:t>商务要求” 及《商务评分表》，逐一提供响应本项目的商务文件：</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lang w:val="en-US" w:eastAsia="zh-CN"/>
        </w:rPr>
        <w:t>商务响应程度</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同类项目业绩。</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投标人信誉。</w:t>
      </w:r>
    </w:p>
    <w:p>
      <w:pPr>
        <w:numPr>
          <w:ilvl w:val="0"/>
          <w:numId w:val="33"/>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纳税信用等级。</w:t>
      </w:r>
    </w:p>
    <w:p>
      <w:pPr>
        <w:numPr>
          <w:ilvl w:val="0"/>
          <w:numId w:val="33"/>
        </w:numPr>
        <w:tabs>
          <w:tab w:val="clear" w:pos="851"/>
        </w:tabs>
        <w:spacing w:line="360" w:lineRule="auto"/>
        <w:ind w:left="1276" w:hanging="850"/>
        <w:rPr>
          <w:rFonts w:ascii="宋体" w:hAnsi="宋体"/>
          <w:color w:val="000000"/>
          <w:sz w:val="24"/>
        </w:rPr>
      </w:pPr>
      <w:r>
        <w:rPr>
          <w:rFonts w:hint="eastAsia" w:ascii="宋体" w:hAnsi="宋体"/>
          <w:color w:val="000000"/>
          <w:sz w:val="24"/>
        </w:rPr>
        <w:t>其他商务文件。</w:t>
      </w:r>
    </w:p>
    <w:p>
      <w:pPr>
        <w:topLinePunct/>
        <w:spacing w:after="180"/>
        <w:ind w:firstLine="1265" w:firstLineChars="450"/>
        <w:rPr>
          <w:rFonts w:hint="eastAsia"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adjustRightInd w:val="0"/>
        <w:snapToGrid w:val="0"/>
        <w:ind w:left="42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hint="eastAsia"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bl>
    <w:p>
      <w:pPr>
        <w:spacing w:line="0" w:lineRule="atLeast"/>
        <w:ind w:left="708" w:hanging="707" w:hangingChars="337"/>
        <w:rPr>
          <w:rFonts w:hint="eastAsia" w:ascii="宋体" w:hAnsi="宋体"/>
          <w:color w:val="000000"/>
          <w:szCs w:val="21"/>
        </w:rPr>
      </w:pPr>
    </w:p>
    <w:p>
      <w:pPr>
        <w:adjustRightInd w:val="0"/>
        <w:snapToGrid w:val="0"/>
        <w:rPr>
          <w:rFonts w:hint="eastAsia" w:ascii="宋体" w:hAnsi="宋体"/>
          <w:color w:val="000000"/>
          <w:sz w:val="24"/>
          <w:lang w:val="en-US" w:eastAsia="zh-CN"/>
        </w:rPr>
      </w:pPr>
      <w:r>
        <w:rPr>
          <w:rFonts w:hint="eastAsia" w:ascii="宋体" w:hAnsi="宋体"/>
          <w:color w:val="000000"/>
          <w:sz w:val="24"/>
        </w:rPr>
        <w:t xml:space="preserve"> </w:t>
      </w:r>
      <w:r>
        <w:rPr>
          <w:rFonts w:hint="eastAsia" w:ascii="宋体" w:hAnsi="宋体"/>
          <w:color w:val="000000"/>
          <w:sz w:val="24"/>
          <w:lang w:val="en-US" w:eastAsia="zh-CN"/>
        </w:rPr>
        <w:t>注：每个业绩都必须同时提供以下加盖投标人公章的业绩证明材料，缺少任何一份材料，都作为无效业绩处理。</w:t>
      </w:r>
    </w:p>
    <w:p>
      <w:pPr>
        <w:numPr>
          <w:ilvl w:val="0"/>
          <w:numId w:val="34"/>
        </w:numPr>
        <w:adjustRightInd w:val="0"/>
        <w:snapToGrid w:val="0"/>
        <w:rPr>
          <w:rFonts w:hint="eastAsia" w:ascii="宋体" w:hAnsi="宋体"/>
          <w:color w:val="000000"/>
          <w:sz w:val="24"/>
          <w:szCs w:val="24"/>
          <w:lang w:eastAsia="zh-CN"/>
        </w:rPr>
      </w:pPr>
      <w:r>
        <w:rPr>
          <w:rFonts w:hint="eastAsia" w:ascii="宋体" w:hAnsi="宋体"/>
          <w:color w:val="000000"/>
          <w:sz w:val="24"/>
          <w:lang w:val="en-US" w:eastAsia="zh-CN"/>
        </w:rPr>
        <w:t>合同关键页</w:t>
      </w:r>
      <w:r>
        <w:rPr>
          <w:rFonts w:hint="eastAsia" w:ascii="宋体" w:hAnsi="宋体"/>
          <w:color w:val="000000"/>
          <w:sz w:val="24"/>
          <w:szCs w:val="24"/>
        </w:rPr>
        <w:t>（关键页包括能够获知甲乙双方名称、合同标的页面及签字盖章页）复印件</w:t>
      </w:r>
      <w:r>
        <w:rPr>
          <w:rFonts w:hint="eastAsia" w:ascii="宋体" w:hAnsi="宋体"/>
          <w:color w:val="000000"/>
          <w:sz w:val="24"/>
          <w:szCs w:val="24"/>
          <w:lang w:eastAsia="zh-CN"/>
        </w:rPr>
        <w:t>（</w:t>
      </w:r>
      <w:r>
        <w:rPr>
          <w:rFonts w:hint="eastAsia" w:ascii="宋体" w:hAnsi="宋体"/>
          <w:color w:val="000000"/>
          <w:sz w:val="24"/>
          <w:szCs w:val="24"/>
          <w:lang w:val="en-US" w:eastAsia="zh-CN"/>
        </w:rPr>
        <w:t>合同上没有标明金额的，须提供由用户单位或使用部门出具且盖有其公章的书面的合同金额或结算金额证明原件</w:t>
      </w:r>
      <w:r>
        <w:rPr>
          <w:rFonts w:hint="eastAsia" w:ascii="宋体" w:hAnsi="宋体"/>
          <w:color w:val="000000"/>
          <w:sz w:val="24"/>
          <w:szCs w:val="24"/>
          <w:lang w:eastAsia="zh-CN"/>
        </w:rPr>
        <w:t>）。</w:t>
      </w:r>
    </w:p>
    <w:p>
      <w:pPr>
        <w:pStyle w:val="2"/>
        <w:numPr>
          <w:ilvl w:val="0"/>
          <w:numId w:val="0"/>
        </w:numP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rPr>
          <w:rFonts w:ascii="宋体" w:hAnsi="宋体"/>
          <w:b w:val="0"/>
          <w:color w:val="000000"/>
          <w:sz w:val="23"/>
          <w:szCs w:val="23"/>
        </w:rPr>
      </w:pPr>
    </w:p>
    <w:p>
      <w:pPr>
        <w:pStyle w:val="2"/>
      </w:pPr>
    </w:p>
    <w:p>
      <w:pPr>
        <w:pStyle w:val="5"/>
        <w:numPr>
          <w:ilvl w:val="0"/>
          <w:numId w:val="0"/>
        </w:numPr>
        <w:spacing w:before="0" w:after="0" w:line="400" w:lineRule="exact"/>
        <w:ind w:leftChars="0"/>
        <w:rPr>
          <w:rFonts w:ascii="宋体" w:hAnsi="宋体"/>
          <w:b w:val="0"/>
          <w:color w:val="000000"/>
          <w:sz w:val="23"/>
          <w:szCs w:val="23"/>
        </w:rPr>
      </w:pPr>
    </w:p>
    <w:p>
      <w:pPr>
        <w:rPr>
          <w:rFonts w:ascii="宋体" w:hAnsi="宋体"/>
          <w:b w:val="0"/>
          <w:color w:val="000000"/>
          <w:sz w:val="23"/>
          <w:szCs w:val="23"/>
        </w:rPr>
      </w:pPr>
    </w:p>
    <w:p>
      <w:pPr>
        <w:pStyle w:val="2"/>
        <w:rPr>
          <w:rFonts w:ascii="宋体" w:hAnsi="宋体"/>
          <w:b w:val="0"/>
          <w:color w:val="000000"/>
          <w:sz w:val="23"/>
          <w:szCs w:val="23"/>
        </w:rPr>
      </w:pPr>
    </w:p>
    <w:p>
      <w:pPr>
        <w:pStyle w:val="2"/>
        <w:ind w:left="0" w:leftChars="0" w:firstLine="0" w:firstLineChars="0"/>
        <w:rPr>
          <w:rFonts w:ascii="宋体" w:hAnsi="宋体"/>
          <w:b w:val="0"/>
          <w:color w:val="000000"/>
          <w:sz w:val="23"/>
          <w:szCs w:val="23"/>
        </w:rPr>
      </w:pPr>
    </w:p>
    <w:p>
      <w:pPr>
        <w:pStyle w:val="5"/>
        <w:bidi w:val="0"/>
        <w:rPr>
          <w:rFonts w:hint="eastAsia"/>
          <w:lang w:val="en-US" w:eastAsia="zh-CN"/>
        </w:rPr>
      </w:pPr>
      <w:bookmarkStart w:id="47" w:name="_Toc7659"/>
      <w:r>
        <w:rPr>
          <w:rFonts w:hint="eastAsia"/>
          <w:lang w:val="en-US" w:eastAsia="zh-CN"/>
        </w:rPr>
        <w:t>6.5承诺书</w:t>
      </w:r>
      <w:bookmarkEnd w:id="42"/>
      <w:bookmarkEnd w:id="47"/>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5"/>
        <w:bidi w:val="0"/>
        <w:rPr>
          <w:rFonts w:hint="eastAsia"/>
          <w:lang w:val="en-US" w:eastAsia="zh-CN"/>
        </w:rPr>
      </w:pPr>
      <w:bookmarkStart w:id="48" w:name="_Toc23159"/>
      <w:r>
        <w:rPr>
          <w:rFonts w:hint="eastAsia"/>
          <w:lang w:val="en-US" w:eastAsia="zh-CN"/>
        </w:rPr>
        <w:t>6.6 投标资格文件</w:t>
      </w:r>
      <w:bookmarkEnd w:id="48"/>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（填写采购项目名称及项目编号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6.6.2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5"/>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5"/>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5"/>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5"/>
        <w:bidi w:val="0"/>
        <w:rPr>
          <w:rFonts w:hint="default"/>
          <w:lang w:val="en-US" w:eastAsia="zh-CN"/>
        </w:rPr>
      </w:pPr>
      <w:bookmarkStart w:id="49" w:name="_Toc26504"/>
      <w:r>
        <w:rPr>
          <w:rFonts w:hint="eastAsia"/>
          <w:lang w:val="en-US" w:eastAsia="zh-CN"/>
        </w:rPr>
        <w:t>6.6 声明</w:t>
      </w:r>
    </w:p>
    <w:p>
      <w:pPr>
        <w:jc w:val="center"/>
        <w:rPr>
          <w:rFonts w:hint="eastAsia" w:ascii="宋体" w:hAnsi="宋体" w:cs="Times New Roman"/>
          <w:b/>
          <w:sz w:val="36"/>
          <w:szCs w:val="36"/>
          <w:lang w:val="en-US" w:eastAsia="zh-CN"/>
        </w:rPr>
      </w:pPr>
    </w:p>
    <w:p>
      <w:pPr>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声   明</w:t>
      </w:r>
    </w:p>
    <w:p>
      <w:pPr>
        <w:pStyle w:val="2"/>
        <w:ind w:left="0" w:leftChars="0" w:firstLine="0" w:firstLineChars="0"/>
        <w:jc w:val="left"/>
        <w:rPr>
          <w:rFonts w:hint="default"/>
          <w:b w:val="0"/>
          <w:bCs w:val="0"/>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我</w:t>
      </w:r>
      <w:r>
        <w:rPr>
          <w:rFonts w:hint="eastAsia" w:ascii="宋体" w:hAnsi="宋体" w:eastAsia="宋体" w:cs="Times New Roman"/>
          <w:sz w:val="24"/>
          <w:szCs w:val="24"/>
          <w:lang w:val="en-US" w:eastAsia="zh-CN" w:bidi="ar-SA"/>
        </w:rPr>
        <w:t>司</w:t>
      </w:r>
      <w:r>
        <w:rPr>
          <w:rFonts w:hint="default" w:ascii="宋体" w:hAnsi="宋体" w:eastAsia="宋体" w:cs="Times New Roman"/>
          <w:sz w:val="24"/>
          <w:szCs w:val="24"/>
          <w:lang w:val="en-US" w:eastAsia="zh-CN" w:bidi="ar-SA"/>
        </w:rPr>
        <w:t>已知悉并清楚理解</w:t>
      </w:r>
      <w:r>
        <w:rPr>
          <w:rFonts w:hint="eastAsia" w:ascii="宋体" w:hAnsi="宋体" w:eastAsia="宋体" w:cs="Times New Roman"/>
          <w:sz w:val="24"/>
          <w:szCs w:val="24"/>
          <w:lang w:val="en-US" w:eastAsia="zh-CN" w:bidi="ar-SA"/>
        </w:rPr>
        <w:t>本次</w:t>
      </w:r>
      <w:r>
        <w:rPr>
          <w:rFonts w:hint="default" w:ascii="宋体" w:hAnsi="宋体" w:eastAsia="宋体" w:cs="Times New Roman"/>
          <w:sz w:val="24"/>
          <w:szCs w:val="24"/>
          <w:lang w:val="en-US" w:eastAsia="zh-CN" w:bidi="ar-SA"/>
        </w:rPr>
        <w:t>采购的全部内容，对本次采购作出实质性响应。</w:t>
      </w:r>
      <w:r>
        <w:rPr>
          <w:rFonts w:hint="eastAsia" w:ascii="宋体" w:hAnsi="宋体" w:eastAsia="宋体" w:cs="Times New Roman"/>
          <w:sz w:val="24"/>
          <w:szCs w:val="24"/>
          <w:lang w:val="en-US" w:eastAsia="zh-CN" w:bidi="ar-SA"/>
        </w:rPr>
        <w:t>同时我司声明：同时我司完全符合《政府采购法》第二十二条规定的条件，且非联合体投标。如若我司不符合上述声明，则贵校有权随时无条件解除双方之间合同，且一切责任均由我司全力承担。</w:t>
      </w:r>
    </w:p>
    <w:p>
      <w:pPr>
        <w:pStyle w:val="2"/>
        <w:ind w:left="0" w:leftChars="0" w:firstLine="480" w:firstLineChars="200"/>
        <w:jc w:val="left"/>
        <w:rPr>
          <w:rFonts w:hint="eastAsia" w:ascii="宋体" w:hAnsi="宋体" w:eastAsia="宋体" w:cs="Times New Roman"/>
          <w:sz w:val="24"/>
          <w:szCs w:val="24"/>
          <w:lang w:val="en-US" w:eastAsia="zh-CN" w:bidi="ar-SA"/>
        </w:rPr>
      </w:pPr>
    </w:p>
    <w:p>
      <w:pPr>
        <w:spacing w:line="500" w:lineRule="exact"/>
        <w:ind w:left="4599" w:leftChars="2190"/>
        <w:rPr>
          <w:rFonts w:ascii="宋体"/>
          <w:color w:val="000000"/>
          <w:sz w:val="23"/>
          <w:szCs w:val="23"/>
        </w:rPr>
      </w:pPr>
      <w:r>
        <w:rPr>
          <w:rFonts w:hint="eastAsia" w:ascii="宋体" w:hAnsi="宋体" w:eastAsia="宋体" w:cs="Times New Roman"/>
          <w:sz w:val="24"/>
          <w:szCs w:val="24"/>
          <w:lang w:val="en-US" w:eastAsia="zh-CN" w:bidi="ar-SA"/>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default" w:ascii="宋体" w:hAnsi="宋体" w:eastAsia="宋体" w:cs="Times New Roman"/>
          <w:sz w:val="24"/>
          <w:szCs w:val="24"/>
          <w:lang w:val="en-US" w:eastAsia="zh-CN" w:bidi="ar-SA"/>
        </w:rPr>
      </w:pPr>
    </w:p>
    <w:p>
      <w:pPr>
        <w:rPr>
          <w:rFonts w:hint="default"/>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pStyle w:val="5"/>
        <w:bidi w:val="0"/>
        <w:rPr>
          <w:rFonts w:hint="eastAsia"/>
          <w:lang w:val="en-US" w:eastAsia="zh-CN"/>
        </w:rPr>
      </w:pPr>
    </w:p>
    <w:p>
      <w:pPr>
        <w:rPr>
          <w:rFonts w:hint="eastAsia"/>
          <w:lang w:val="en-US" w:eastAsia="zh-CN"/>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5"/>
        <w:bidi w:val="0"/>
        <w:rPr>
          <w:rFonts w:hint="eastAsia"/>
          <w:lang w:val="en-US" w:eastAsia="zh-CN"/>
        </w:rPr>
      </w:pPr>
    </w:p>
    <w:p>
      <w:pPr>
        <w:pStyle w:val="5"/>
        <w:bidi w:val="0"/>
        <w:rPr>
          <w:rFonts w:hint="eastAsia"/>
          <w:lang w:val="en-US" w:eastAsia="zh-CN"/>
        </w:rPr>
      </w:pPr>
      <w:r>
        <w:rPr>
          <w:rFonts w:hint="eastAsia"/>
          <w:lang w:val="en-US" w:eastAsia="zh-CN"/>
        </w:rPr>
        <w:t>6.7法定代表人证明书</w:t>
      </w:r>
      <w:bookmarkEnd w:id="49"/>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5"/>
        <w:bidi w:val="0"/>
        <w:rPr>
          <w:rFonts w:hint="eastAsia" w:ascii="Arial" w:hAnsi="Arial"/>
          <w:lang w:val="en-US" w:eastAsia="zh-CN"/>
        </w:rPr>
      </w:pPr>
      <w:bookmarkStart w:id="50" w:name="_Toc20519"/>
      <w:r>
        <w:rPr>
          <w:rFonts w:hint="eastAsia" w:ascii="Arial" w:hAnsi="Arial"/>
          <w:lang w:val="en-US" w:eastAsia="zh-CN"/>
        </w:rPr>
        <w:t>6.8 授权委托书</w:t>
      </w:r>
      <w:bookmarkEnd w:id="50"/>
    </w:p>
    <w:p>
      <w:pPr>
        <w:adjustRightInd w:val="0"/>
        <w:snapToGrid w:val="0"/>
        <w:rPr>
          <w:rFonts w:ascii="宋体" w:hAnsi="宋体"/>
          <w:color w:val="000000"/>
          <w:kern w:val="0"/>
          <w:sz w:val="23"/>
          <w:szCs w:val="23"/>
        </w:rPr>
      </w:pPr>
    </w:p>
    <w:p>
      <w:pPr>
        <w:pStyle w:val="24"/>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4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51"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51"/>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5"/>
        <w:bidi w:val="0"/>
        <w:rPr>
          <w:rFonts w:hint="eastAsia"/>
          <w:lang w:val="en-US" w:eastAsia="zh-CN"/>
        </w:rPr>
      </w:pPr>
      <w:bookmarkStart w:id="52" w:name="_Toc7944"/>
      <w:bookmarkStart w:id="53" w:name="_Toc295727245"/>
      <w:bookmarkStart w:id="54" w:name="_Toc59630618"/>
      <w:r>
        <w:rPr>
          <w:rFonts w:hint="eastAsia"/>
          <w:lang w:val="en-US" w:eastAsia="zh-CN"/>
        </w:rPr>
        <w:t>6.9 投标文件自查清单（仅供提示）</w:t>
      </w:r>
      <w:bookmarkEnd w:id="52"/>
      <w:bookmarkEnd w:id="53"/>
      <w:bookmarkEnd w:id="54"/>
    </w:p>
    <w:p>
      <w:pPr>
        <w:rPr>
          <w:color w:val="000000"/>
        </w:rPr>
      </w:pPr>
    </w:p>
    <w:p>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投标人应自行检查投标文件的编制、装订、签署等情况，确保所递交的投标文件资料满足招标文件要求，避免投标文件无效。</w:t>
      </w:r>
    </w:p>
    <w:p>
      <w:pPr>
        <w:rPr>
          <w:color w:val="000000"/>
          <w:sz w:val="24"/>
        </w:rPr>
      </w:pPr>
    </w:p>
    <w:p>
      <w:pPr>
        <w:numPr>
          <w:ilvl w:val="0"/>
          <w:numId w:val="36"/>
        </w:numPr>
        <w:rPr>
          <w:rFonts w:ascii="宋体" w:hAnsi="宋体"/>
          <w:b/>
          <w:color w:val="000000"/>
          <w:sz w:val="24"/>
        </w:rPr>
      </w:pPr>
      <w:r>
        <w:rPr>
          <w:rFonts w:hint="eastAsia" w:ascii="宋体" w:hAnsi="宋体"/>
          <w:b/>
          <w:color w:val="000000"/>
          <w:sz w:val="24"/>
        </w:rPr>
        <w:t>资格性资料</w:t>
      </w:r>
    </w:p>
    <w:p>
      <w:pPr>
        <w:rPr>
          <w:rFonts w:ascii="宋体" w:hAnsi="宋体"/>
          <w:color w:val="000000"/>
          <w:sz w:val="24"/>
        </w:rPr>
      </w:pPr>
      <w:r>
        <w:rPr>
          <w:rFonts w:hint="eastAsia" w:ascii="宋体" w:hAnsi="宋体"/>
          <w:color w:val="000000"/>
          <w:sz w:val="24"/>
        </w:rPr>
        <w:t>对照《资格性审查表》逐项核对应提交资格证明文件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6"/>
        </w:numPr>
        <w:rPr>
          <w:rFonts w:ascii="宋体" w:hAnsi="宋体"/>
          <w:b/>
          <w:color w:val="000000"/>
          <w:sz w:val="24"/>
        </w:rPr>
      </w:pPr>
      <w:r>
        <w:rPr>
          <w:rFonts w:hint="eastAsia" w:ascii="宋体" w:hAnsi="宋体"/>
          <w:b/>
          <w:color w:val="000000"/>
          <w:sz w:val="24"/>
        </w:rPr>
        <w:t>符合性审资料</w:t>
      </w:r>
    </w:p>
    <w:p>
      <w:pPr>
        <w:rPr>
          <w:rFonts w:ascii="宋体" w:hAnsi="宋体"/>
          <w:color w:val="000000"/>
          <w:sz w:val="24"/>
        </w:rPr>
      </w:pPr>
      <w:r>
        <w:rPr>
          <w:rFonts w:hint="eastAsia" w:ascii="宋体" w:hAnsi="宋体"/>
          <w:color w:val="000000"/>
          <w:sz w:val="24"/>
        </w:rPr>
        <w:t>对照《符合性审查表》逐项核对投标文件的符合性（含招标文件的★号条款）</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p>
            <w:pPr>
              <w:jc w:val="center"/>
              <w:rPr>
                <w:rFonts w:ascii="宋体" w:hAnsi="宋体"/>
                <w:color w:val="000000"/>
                <w:sz w:val="24"/>
              </w:rPr>
            </w:pPr>
            <w:r>
              <w:rPr>
                <w:rFonts w:hint="eastAsia" w:ascii="宋体" w:hAnsi="宋体"/>
                <w:color w:val="000000"/>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6"/>
        </w:numPr>
        <w:rPr>
          <w:rFonts w:ascii="宋体" w:hAnsi="宋体"/>
          <w:color w:val="000000"/>
          <w:sz w:val="24"/>
        </w:rPr>
      </w:pPr>
      <w:r>
        <w:rPr>
          <w:rFonts w:hint="eastAsia" w:ascii="宋体" w:hAnsi="宋体"/>
          <w:color w:val="000000"/>
          <w:sz w:val="24"/>
        </w:rPr>
        <w:t>《项目内容及需求》响应资料</w:t>
      </w:r>
    </w:p>
    <w:p>
      <w:pPr>
        <w:rPr>
          <w:rFonts w:ascii="宋体" w:hAnsi="宋体"/>
          <w:color w:val="000000"/>
          <w:sz w:val="24"/>
        </w:rPr>
      </w:pPr>
      <w:r>
        <w:rPr>
          <w:rFonts w:hint="eastAsia" w:ascii="宋体" w:hAnsi="宋体"/>
          <w:color w:val="000000"/>
          <w:sz w:val="24"/>
        </w:rPr>
        <w:t>对照项目需求书要求逐项核对应提交的资料</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6"/>
        </w:numPr>
        <w:rPr>
          <w:rFonts w:ascii="宋体" w:hAnsi="宋体"/>
          <w:color w:val="000000"/>
          <w:sz w:val="24"/>
        </w:rPr>
      </w:pPr>
      <w:r>
        <w:rPr>
          <w:rFonts w:hint="eastAsia" w:ascii="宋体" w:hAnsi="宋体"/>
          <w:color w:val="000000"/>
          <w:sz w:val="24"/>
        </w:rPr>
        <w:t>《技术评分表》和《商务评分表》中供评审的证明文件</w:t>
      </w:r>
    </w:p>
    <w:p>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r>
        <w:rPr>
          <w:rFonts w:hint="eastAsia" w:ascii="宋体" w:hAnsi="宋体"/>
          <w:color w:val="000000"/>
          <w:sz w:val="24"/>
        </w:rPr>
        <w:t>注：投标人应根据投标文件中的资料提交情况如实制作本清单，并对本清单的准确性负责。</w:t>
      </w:r>
    </w:p>
    <w:p>
      <w:pPr>
        <w:rPr>
          <w:sz w:val="23"/>
          <w:szCs w:val="23"/>
        </w:rPr>
      </w:pPr>
    </w:p>
    <w:sectPr>
      <w:footerReference r:id="rId15" w:type="first"/>
      <w:footerReference r:id="rId14"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w:pict>
        <v:shape id="_x0000_s4115" o:spid="_x0000_s411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3" o:spid="_x0000_s412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17</w:t>
                </w:r>
                <w:r>
                  <w:fldChar w:fldCharType="end"/>
                </w:r>
              </w:p>
            </w:txbxContent>
          </v:textbox>
        </v:shape>
      </w:pict>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separate"/>
    </w:r>
    <w:r>
      <w:rPr>
        <w:rStyle w:val="47"/>
      </w:rPr>
      <w:t>52</w: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16" o:spid="_x0000_s411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rPr>
        <w:sz w:val="18"/>
      </w:rPr>
      <w:pict>
        <v:shape id="_x0000_s4117" o:spid="_x0000_s411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18" o:spid="_x0000_s411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19" o:spid="_x0000_s411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4</w:t>
                </w:r>
                <w:r>
                  <w:fldChar w:fldCharType="end"/>
                </w:r>
              </w:p>
            </w:txbxContent>
          </v:textbox>
        </v:shape>
      </w:pict>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0" o:spid="_x0000_s412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w:r>
  </w:p>
  <w:p>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1" o:spid="_x0000_s412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w:t>
                </w:r>
                <w:r>
                  <w:fldChar w:fldCharType="end"/>
                </w:r>
              </w:p>
            </w:txbxContent>
          </v:textbox>
        </v:shape>
      </w:pict>
    </w:r>
  </w:p>
  <w:p>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w:pict>
        <v:shape id="_x0000_s4122" o:spid="_x0000_s412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18</w:t>
                </w:r>
                <w:r>
                  <w:fldChar w:fldCharType="end"/>
                </w:r>
              </w:p>
            </w:txbxContent>
          </v:textbox>
        </v:shape>
      </w:pict>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bookmarkStart w:id="55" w:name="_Hlk303930787"/>
    <w:bookmarkEnd w:id="55"/>
    <w:bookmarkStart w:id="56" w:name="OLE_LINK14"/>
    <w:bookmarkEnd w:id="56"/>
    <w:bookmarkStart w:id="57" w:name="OLE_LINK15"/>
    <w:bookmarkEnd w:id="5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C0238"/>
    <w:multiLevelType w:val="singleLevel"/>
    <w:tmpl w:val="FFAC0238"/>
    <w:lvl w:ilvl="0" w:tentative="0">
      <w:start w:val="1"/>
      <w:numFmt w:val="decimal"/>
      <w:suff w:val="space"/>
      <w:lvlText w:val="（%1）"/>
      <w:lvlJc w:val="left"/>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E273707"/>
    <w:multiLevelType w:val="multilevel"/>
    <w:tmpl w:val="5E273707"/>
    <w:lvl w:ilvl="0" w:tentative="0">
      <w:start w:val="1"/>
      <w:numFmt w:val="chineseCountingThousand"/>
      <w:lvlText w:val="（%1）"/>
      <w:lvlJc w:val="left"/>
      <w:pPr>
        <w:tabs>
          <w:tab w:val="left" w:pos="480"/>
        </w:tabs>
        <w:ind w:left="1418" w:hanging="938"/>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6">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9812D5"/>
    <w:multiLevelType w:val="multilevel"/>
    <w:tmpl w:val="7D9812D5"/>
    <w:lvl w:ilvl="0" w:tentative="0">
      <w:start w:val="1"/>
      <w:numFmt w:val="decimal"/>
      <w:lvlText w:val="1.6.%1"/>
      <w:lvlJc w:val="left"/>
      <w:pPr>
        <w:tabs>
          <w:tab w:val="left" w:pos="1361"/>
        </w:tabs>
        <w:ind w:left="1391" w:hanging="851"/>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6"/>
  </w:num>
  <w:num w:numId="2">
    <w:abstractNumId w:val="11"/>
  </w:num>
  <w:num w:numId="3">
    <w:abstractNumId w:val="3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16"/>
  </w:num>
  <w:num w:numId="9">
    <w:abstractNumId w:val="19"/>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
  </w:num>
  <w:num w:numId="14">
    <w:abstractNumId w:val="14"/>
  </w:num>
  <w:num w:numId="15">
    <w:abstractNumId w:val="30"/>
  </w:num>
  <w:num w:numId="16">
    <w:abstractNumId w:val="21"/>
  </w:num>
  <w:num w:numId="17">
    <w:abstractNumId w:val="23"/>
  </w:num>
  <w:num w:numId="18">
    <w:abstractNumId w:val="4"/>
  </w:num>
  <w:num w:numId="19">
    <w:abstractNumId w:val="18"/>
  </w:num>
  <w:num w:numId="20">
    <w:abstractNumId w:val="3"/>
  </w:num>
  <w:num w:numId="21">
    <w:abstractNumId w:val="29"/>
  </w:num>
  <w:num w:numId="22">
    <w:abstractNumId w:val="15"/>
  </w:num>
  <w:num w:numId="23">
    <w:abstractNumId w:val="24"/>
  </w:num>
  <w:num w:numId="24">
    <w:abstractNumId w:val="6"/>
  </w:num>
  <w:num w:numId="25">
    <w:abstractNumId w:val="5"/>
  </w:num>
  <w:num w:numId="26">
    <w:abstractNumId w:val="27"/>
  </w:num>
  <w:num w:numId="27">
    <w:abstractNumId w:val="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0"/>
  </w:num>
  <w:num w:numId="33">
    <w:abstractNumId w:val="7"/>
  </w:num>
  <w:num w:numId="34">
    <w:abstractNumId w:val="0"/>
  </w:num>
  <w:num w:numId="35">
    <w:abstractNumId w:val="2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A176C"/>
    <w:rsid w:val="0000486A"/>
    <w:rsid w:val="00033F19"/>
    <w:rsid w:val="00044344"/>
    <w:rsid w:val="00065537"/>
    <w:rsid w:val="00077147"/>
    <w:rsid w:val="00097969"/>
    <w:rsid w:val="000A09B0"/>
    <w:rsid w:val="000B14EB"/>
    <w:rsid w:val="000B3CAE"/>
    <w:rsid w:val="000D2204"/>
    <w:rsid w:val="000E1F35"/>
    <w:rsid w:val="000E7DB2"/>
    <w:rsid w:val="00117EA9"/>
    <w:rsid w:val="00136DE6"/>
    <w:rsid w:val="00141B66"/>
    <w:rsid w:val="001529E6"/>
    <w:rsid w:val="00163B42"/>
    <w:rsid w:val="00167DC8"/>
    <w:rsid w:val="00183EB6"/>
    <w:rsid w:val="00184737"/>
    <w:rsid w:val="00184EC2"/>
    <w:rsid w:val="00184FD5"/>
    <w:rsid w:val="0019218B"/>
    <w:rsid w:val="00196E11"/>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E4C"/>
    <w:rsid w:val="003469A9"/>
    <w:rsid w:val="0034732D"/>
    <w:rsid w:val="00361B01"/>
    <w:rsid w:val="003634EF"/>
    <w:rsid w:val="00364374"/>
    <w:rsid w:val="003707DD"/>
    <w:rsid w:val="00385088"/>
    <w:rsid w:val="00395504"/>
    <w:rsid w:val="003A2FFD"/>
    <w:rsid w:val="003A6294"/>
    <w:rsid w:val="003D320B"/>
    <w:rsid w:val="003E2E90"/>
    <w:rsid w:val="003E398F"/>
    <w:rsid w:val="003F03D8"/>
    <w:rsid w:val="00401F20"/>
    <w:rsid w:val="0041281A"/>
    <w:rsid w:val="00415E19"/>
    <w:rsid w:val="00422EE8"/>
    <w:rsid w:val="00423DD4"/>
    <w:rsid w:val="0045674E"/>
    <w:rsid w:val="00460A53"/>
    <w:rsid w:val="00474DC6"/>
    <w:rsid w:val="0047683E"/>
    <w:rsid w:val="00481ED0"/>
    <w:rsid w:val="004A4CCF"/>
    <w:rsid w:val="004B4B10"/>
    <w:rsid w:val="004D31D4"/>
    <w:rsid w:val="004D3E52"/>
    <w:rsid w:val="004D7CF8"/>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D0B12"/>
    <w:rsid w:val="00603574"/>
    <w:rsid w:val="006103AD"/>
    <w:rsid w:val="00613A10"/>
    <w:rsid w:val="00622680"/>
    <w:rsid w:val="006444BB"/>
    <w:rsid w:val="00645533"/>
    <w:rsid w:val="006510FF"/>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D6700"/>
    <w:rsid w:val="006E19D5"/>
    <w:rsid w:val="006F104E"/>
    <w:rsid w:val="0070003C"/>
    <w:rsid w:val="0070213A"/>
    <w:rsid w:val="00713411"/>
    <w:rsid w:val="00717187"/>
    <w:rsid w:val="00724404"/>
    <w:rsid w:val="007314E4"/>
    <w:rsid w:val="00760705"/>
    <w:rsid w:val="00772082"/>
    <w:rsid w:val="00777BE7"/>
    <w:rsid w:val="007A31DD"/>
    <w:rsid w:val="007A5E84"/>
    <w:rsid w:val="007A64FF"/>
    <w:rsid w:val="007B6642"/>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913497"/>
    <w:rsid w:val="00921D81"/>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2504"/>
    <w:rsid w:val="00BF4C77"/>
    <w:rsid w:val="00C0458A"/>
    <w:rsid w:val="00C14DBB"/>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DF011B"/>
    <w:rsid w:val="00E1687D"/>
    <w:rsid w:val="00E3420A"/>
    <w:rsid w:val="00E35E83"/>
    <w:rsid w:val="00E43EDB"/>
    <w:rsid w:val="00E44404"/>
    <w:rsid w:val="00E451E5"/>
    <w:rsid w:val="00E54F35"/>
    <w:rsid w:val="00E674CE"/>
    <w:rsid w:val="00E87247"/>
    <w:rsid w:val="00E95A19"/>
    <w:rsid w:val="00E96411"/>
    <w:rsid w:val="00EA72EE"/>
    <w:rsid w:val="00EA7AE2"/>
    <w:rsid w:val="00EB4472"/>
    <w:rsid w:val="00EC0139"/>
    <w:rsid w:val="00EC5143"/>
    <w:rsid w:val="00EC5293"/>
    <w:rsid w:val="00EE2286"/>
    <w:rsid w:val="00EE6A1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108035A"/>
    <w:rsid w:val="01DE139B"/>
    <w:rsid w:val="023A5CA6"/>
    <w:rsid w:val="037E280C"/>
    <w:rsid w:val="04013310"/>
    <w:rsid w:val="05123957"/>
    <w:rsid w:val="05F02E8B"/>
    <w:rsid w:val="06966A0D"/>
    <w:rsid w:val="06C05AF1"/>
    <w:rsid w:val="06ED4C8A"/>
    <w:rsid w:val="07402BF3"/>
    <w:rsid w:val="07DE6A9A"/>
    <w:rsid w:val="09ED154E"/>
    <w:rsid w:val="0AB90B39"/>
    <w:rsid w:val="0B74376A"/>
    <w:rsid w:val="0BB23C45"/>
    <w:rsid w:val="0BDF6B5E"/>
    <w:rsid w:val="0BFB4B3E"/>
    <w:rsid w:val="0C10126D"/>
    <w:rsid w:val="0C835C86"/>
    <w:rsid w:val="0CCC4D37"/>
    <w:rsid w:val="0CEA3DD7"/>
    <w:rsid w:val="0D933ACB"/>
    <w:rsid w:val="0E374ADB"/>
    <w:rsid w:val="0F140BE0"/>
    <w:rsid w:val="0F646F20"/>
    <w:rsid w:val="0F871FC5"/>
    <w:rsid w:val="0FB03BC1"/>
    <w:rsid w:val="10034A31"/>
    <w:rsid w:val="101D6B53"/>
    <w:rsid w:val="10330F2A"/>
    <w:rsid w:val="109F51D7"/>
    <w:rsid w:val="109F534B"/>
    <w:rsid w:val="10C51415"/>
    <w:rsid w:val="12553EE6"/>
    <w:rsid w:val="125B5A1E"/>
    <w:rsid w:val="128B44A8"/>
    <w:rsid w:val="12B82E37"/>
    <w:rsid w:val="12ED5D11"/>
    <w:rsid w:val="132D4483"/>
    <w:rsid w:val="136E40A3"/>
    <w:rsid w:val="13783DEF"/>
    <w:rsid w:val="14676F8C"/>
    <w:rsid w:val="14953C66"/>
    <w:rsid w:val="14A56630"/>
    <w:rsid w:val="155A5C64"/>
    <w:rsid w:val="15E72011"/>
    <w:rsid w:val="16032A72"/>
    <w:rsid w:val="163F21FC"/>
    <w:rsid w:val="16B117B2"/>
    <w:rsid w:val="1740136A"/>
    <w:rsid w:val="18A017D0"/>
    <w:rsid w:val="18B40D68"/>
    <w:rsid w:val="1920603D"/>
    <w:rsid w:val="19BE75D5"/>
    <w:rsid w:val="19D156D5"/>
    <w:rsid w:val="19F438AD"/>
    <w:rsid w:val="1B1E67F9"/>
    <w:rsid w:val="1B55718B"/>
    <w:rsid w:val="1B940553"/>
    <w:rsid w:val="1BBF01D1"/>
    <w:rsid w:val="1DDF6CDF"/>
    <w:rsid w:val="1F3E042B"/>
    <w:rsid w:val="206A5AD0"/>
    <w:rsid w:val="218B57C8"/>
    <w:rsid w:val="22040172"/>
    <w:rsid w:val="22261F52"/>
    <w:rsid w:val="227B7559"/>
    <w:rsid w:val="227D7C28"/>
    <w:rsid w:val="23C53D86"/>
    <w:rsid w:val="23F82917"/>
    <w:rsid w:val="24015D59"/>
    <w:rsid w:val="247E30D0"/>
    <w:rsid w:val="249621E5"/>
    <w:rsid w:val="249C332D"/>
    <w:rsid w:val="24BD67EB"/>
    <w:rsid w:val="24D13FDD"/>
    <w:rsid w:val="2529624F"/>
    <w:rsid w:val="26C9241A"/>
    <w:rsid w:val="26E53D16"/>
    <w:rsid w:val="273C148D"/>
    <w:rsid w:val="277D6996"/>
    <w:rsid w:val="2781206F"/>
    <w:rsid w:val="278475AC"/>
    <w:rsid w:val="280705CF"/>
    <w:rsid w:val="2853500D"/>
    <w:rsid w:val="296718CC"/>
    <w:rsid w:val="29962E3B"/>
    <w:rsid w:val="29D972DD"/>
    <w:rsid w:val="29FF63B1"/>
    <w:rsid w:val="2B87588A"/>
    <w:rsid w:val="2B920E35"/>
    <w:rsid w:val="2BAB09E5"/>
    <w:rsid w:val="2C3957F2"/>
    <w:rsid w:val="2C6132AD"/>
    <w:rsid w:val="2CC02285"/>
    <w:rsid w:val="2CFD291E"/>
    <w:rsid w:val="2D1812EA"/>
    <w:rsid w:val="2D4B53F8"/>
    <w:rsid w:val="2D6F5CAE"/>
    <w:rsid w:val="2DD7361B"/>
    <w:rsid w:val="2F341465"/>
    <w:rsid w:val="307165CD"/>
    <w:rsid w:val="316B6F01"/>
    <w:rsid w:val="31D34E77"/>
    <w:rsid w:val="327C0651"/>
    <w:rsid w:val="32F96E5D"/>
    <w:rsid w:val="33BC28F8"/>
    <w:rsid w:val="343C181D"/>
    <w:rsid w:val="34B26D5D"/>
    <w:rsid w:val="35572EC3"/>
    <w:rsid w:val="35EF391E"/>
    <w:rsid w:val="3604148F"/>
    <w:rsid w:val="36445510"/>
    <w:rsid w:val="367000B2"/>
    <w:rsid w:val="36DB7AC9"/>
    <w:rsid w:val="38A87DE8"/>
    <w:rsid w:val="38D109A9"/>
    <w:rsid w:val="38D57F98"/>
    <w:rsid w:val="38E96500"/>
    <w:rsid w:val="393850E7"/>
    <w:rsid w:val="39441E7B"/>
    <w:rsid w:val="39F504C6"/>
    <w:rsid w:val="3A223195"/>
    <w:rsid w:val="3BE36094"/>
    <w:rsid w:val="3C2B76EC"/>
    <w:rsid w:val="3C6F5F56"/>
    <w:rsid w:val="3C780677"/>
    <w:rsid w:val="3CD619A2"/>
    <w:rsid w:val="3CE40590"/>
    <w:rsid w:val="3F4003A2"/>
    <w:rsid w:val="3FDB660C"/>
    <w:rsid w:val="405555FE"/>
    <w:rsid w:val="40DE674C"/>
    <w:rsid w:val="41C20D84"/>
    <w:rsid w:val="420D6DE3"/>
    <w:rsid w:val="438038CD"/>
    <w:rsid w:val="43813BE8"/>
    <w:rsid w:val="44921407"/>
    <w:rsid w:val="44B02C63"/>
    <w:rsid w:val="45473DD6"/>
    <w:rsid w:val="45486818"/>
    <w:rsid w:val="45873B9E"/>
    <w:rsid w:val="45E9196F"/>
    <w:rsid w:val="46561836"/>
    <w:rsid w:val="469D49BC"/>
    <w:rsid w:val="46B27E3D"/>
    <w:rsid w:val="488F1B00"/>
    <w:rsid w:val="48A52518"/>
    <w:rsid w:val="49453D5E"/>
    <w:rsid w:val="49900FBF"/>
    <w:rsid w:val="4A11747C"/>
    <w:rsid w:val="4A646B06"/>
    <w:rsid w:val="4AD20F98"/>
    <w:rsid w:val="4B0E3842"/>
    <w:rsid w:val="4B74697D"/>
    <w:rsid w:val="4B8768C5"/>
    <w:rsid w:val="4BFB12E4"/>
    <w:rsid w:val="4C052251"/>
    <w:rsid w:val="4CC968F1"/>
    <w:rsid w:val="4D8D08FA"/>
    <w:rsid w:val="4DBE3EA4"/>
    <w:rsid w:val="4EAA1E75"/>
    <w:rsid w:val="501D4AA3"/>
    <w:rsid w:val="5093216D"/>
    <w:rsid w:val="50C8669D"/>
    <w:rsid w:val="51A87F20"/>
    <w:rsid w:val="51BD6549"/>
    <w:rsid w:val="51EA7325"/>
    <w:rsid w:val="527D6C7F"/>
    <w:rsid w:val="537F397C"/>
    <w:rsid w:val="5386721B"/>
    <w:rsid w:val="54B84FF0"/>
    <w:rsid w:val="54DF3F75"/>
    <w:rsid w:val="556307CA"/>
    <w:rsid w:val="556755C3"/>
    <w:rsid w:val="55DF727A"/>
    <w:rsid w:val="55E733AF"/>
    <w:rsid w:val="570E6F6E"/>
    <w:rsid w:val="574837DE"/>
    <w:rsid w:val="57A20E46"/>
    <w:rsid w:val="587439CA"/>
    <w:rsid w:val="5967493B"/>
    <w:rsid w:val="5C0F5ECE"/>
    <w:rsid w:val="5D6C56D3"/>
    <w:rsid w:val="5E071FDA"/>
    <w:rsid w:val="5F1115F6"/>
    <w:rsid w:val="5F24373C"/>
    <w:rsid w:val="5F332C06"/>
    <w:rsid w:val="5F7432EE"/>
    <w:rsid w:val="5FBB77C9"/>
    <w:rsid w:val="5FDA72F3"/>
    <w:rsid w:val="60A55186"/>
    <w:rsid w:val="60D44CCE"/>
    <w:rsid w:val="611B0228"/>
    <w:rsid w:val="61237167"/>
    <w:rsid w:val="61A16F86"/>
    <w:rsid w:val="627D22F5"/>
    <w:rsid w:val="63B80F98"/>
    <w:rsid w:val="63D950CC"/>
    <w:rsid w:val="645B3E37"/>
    <w:rsid w:val="64CC22D6"/>
    <w:rsid w:val="657C664F"/>
    <w:rsid w:val="65CF7A1C"/>
    <w:rsid w:val="65DE16A6"/>
    <w:rsid w:val="65DE7E00"/>
    <w:rsid w:val="66D419D9"/>
    <w:rsid w:val="671A0E61"/>
    <w:rsid w:val="677B6766"/>
    <w:rsid w:val="68C05304"/>
    <w:rsid w:val="69301121"/>
    <w:rsid w:val="69514662"/>
    <w:rsid w:val="69B20D5A"/>
    <w:rsid w:val="69DE26C2"/>
    <w:rsid w:val="69E45E10"/>
    <w:rsid w:val="69F538E2"/>
    <w:rsid w:val="6A860BF5"/>
    <w:rsid w:val="6AB37683"/>
    <w:rsid w:val="6AE33467"/>
    <w:rsid w:val="6B263BAD"/>
    <w:rsid w:val="6BD94DF5"/>
    <w:rsid w:val="6DF96E93"/>
    <w:rsid w:val="6E56517D"/>
    <w:rsid w:val="6F3F11CA"/>
    <w:rsid w:val="6F7C5210"/>
    <w:rsid w:val="70172DE1"/>
    <w:rsid w:val="7021607F"/>
    <w:rsid w:val="70C61536"/>
    <w:rsid w:val="70E25D19"/>
    <w:rsid w:val="712B40AC"/>
    <w:rsid w:val="71743189"/>
    <w:rsid w:val="71D4623C"/>
    <w:rsid w:val="726657B6"/>
    <w:rsid w:val="72B703DB"/>
    <w:rsid w:val="72EC2B19"/>
    <w:rsid w:val="73EA0FA4"/>
    <w:rsid w:val="73F3733E"/>
    <w:rsid w:val="747A4D6C"/>
    <w:rsid w:val="74E7015A"/>
    <w:rsid w:val="763A00A4"/>
    <w:rsid w:val="768F6F06"/>
    <w:rsid w:val="77E12678"/>
    <w:rsid w:val="77E164E9"/>
    <w:rsid w:val="78066B35"/>
    <w:rsid w:val="7822226C"/>
    <w:rsid w:val="78454039"/>
    <w:rsid w:val="78532FAF"/>
    <w:rsid w:val="78571D34"/>
    <w:rsid w:val="788F5AFA"/>
    <w:rsid w:val="78D2638A"/>
    <w:rsid w:val="79796D50"/>
    <w:rsid w:val="79F51317"/>
    <w:rsid w:val="7B4E3F05"/>
    <w:rsid w:val="7BA40CAD"/>
    <w:rsid w:val="7BA8781C"/>
    <w:rsid w:val="7CD438A5"/>
    <w:rsid w:val="7CE34D56"/>
    <w:rsid w:val="7CF25F07"/>
    <w:rsid w:val="7E450F42"/>
    <w:rsid w:val="7E550A37"/>
    <w:rsid w:val="7F0B4762"/>
    <w:rsid w:val="7FD95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3"/>
    <w:qFormat/>
    <w:uiPriority w:val="0"/>
    <w:pPr>
      <w:keepNext/>
      <w:keepLines/>
      <w:spacing w:before="340" w:after="330" w:line="240" w:lineRule="auto"/>
      <w:outlineLvl w:val="0"/>
    </w:pPr>
    <w:rPr>
      <w:rFonts w:ascii="Arial" w:hAnsi="Arial"/>
      <w:bCs/>
      <w:kern w:val="44"/>
      <w:sz w:val="28"/>
      <w:szCs w:val="44"/>
    </w:rPr>
  </w:style>
  <w:style w:type="paragraph" w:styleId="5">
    <w:name w:val="heading 2"/>
    <w:basedOn w:val="6"/>
    <w:next w:val="1"/>
    <w:link w:val="54"/>
    <w:qFormat/>
    <w:uiPriority w:val="0"/>
    <w:pPr>
      <w:keepNext/>
      <w:keepLines/>
      <w:spacing w:before="260" w:after="260" w:line="240" w:lineRule="atLeast"/>
      <w:jc w:val="left"/>
      <w:outlineLvl w:val="1"/>
    </w:pPr>
    <w:rPr>
      <w:rFonts w:ascii="Arial" w:hAnsi="Arial"/>
      <w:sz w:val="24"/>
    </w:rPr>
  </w:style>
  <w:style w:type="paragraph" w:styleId="6">
    <w:name w:val="heading 3"/>
    <w:basedOn w:val="1"/>
    <w:next w:val="1"/>
    <w:link w:val="57"/>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9"/>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9">
    <w:name w:val="heading 6"/>
    <w:basedOn w:val="1"/>
    <w:next w:val="1"/>
    <w:link w:val="60"/>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10">
    <w:name w:val="heading 7"/>
    <w:basedOn w:val="1"/>
    <w:next w:val="1"/>
    <w:link w:val="61"/>
    <w:qFormat/>
    <w:uiPriority w:val="0"/>
    <w:pPr>
      <w:keepNext/>
      <w:keepLines/>
      <w:widowControl/>
      <w:spacing w:before="240" w:after="64" w:line="320" w:lineRule="auto"/>
      <w:jc w:val="left"/>
      <w:outlineLvl w:val="6"/>
    </w:pPr>
    <w:rPr>
      <w:rFonts w:ascii="Calibri" w:hAnsi="Calibri"/>
      <w:b/>
      <w:bCs/>
      <w:kern w:val="0"/>
      <w:sz w:val="24"/>
    </w:rPr>
  </w:style>
  <w:style w:type="paragraph" w:styleId="11">
    <w:name w:val="heading 8"/>
    <w:basedOn w:val="1"/>
    <w:next w:val="1"/>
    <w:link w:val="62"/>
    <w:qFormat/>
    <w:uiPriority w:val="0"/>
    <w:pPr>
      <w:keepNext/>
      <w:keepLines/>
      <w:widowControl/>
      <w:spacing w:before="240" w:after="64" w:line="320" w:lineRule="auto"/>
      <w:jc w:val="left"/>
      <w:outlineLvl w:val="7"/>
    </w:pPr>
    <w:rPr>
      <w:rFonts w:ascii="Arial" w:hAnsi="Arial" w:eastAsia="黑体"/>
      <w:kern w:val="0"/>
      <w:sz w:val="24"/>
    </w:rPr>
  </w:style>
  <w:style w:type="paragraph" w:styleId="12">
    <w:name w:val="heading 9"/>
    <w:basedOn w:val="1"/>
    <w:next w:val="1"/>
    <w:link w:val="63"/>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4">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Normal Indent"/>
    <w:basedOn w:val="1"/>
    <w:link w:val="80"/>
    <w:qFormat/>
    <w:uiPriority w:val="0"/>
    <w:pPr>
      <w:ind w:firstLine="420"/>
    </w:pPr>
    <w:rPr>
      <w:rFonts w:asciiTheme="minorHAnsi" w:hAnsiTheme="minorHAnsi" w:cstheme="minorBidi"/>
      <w:szCs w:val="22"/>
    </w:rPr>
  </w:style>
  <w:style w:type="paragraph" w:styleId="15">
    <w:name w:val="Document Map"/>
    <w:basedOn w:val="1"/>
    <w:link w:val="91"/>
    <w:semiHidden/>
    <w:qFormat/>
    <w:uiPriority w:val="0"/>
    <w:pPr>
      <w:shd w:val="clear" w:color="auto" w:fill="000080"/>
    </w:pPr>
  </w:style>
  <w:style w:type="paragraph" w:styleId="16">
    <w:name w:val="annotation text"/>
    <w:basedOn w:val="1"/>
    <w:next w:val="17"/>
    <w:link w:val="69"/>
    <w:qFormat/>
    <w:uiPriority w:val="0"/>
    <w:pPr>
      <w:jc w:val="left"/>
    </w:pPr>
    <w:rPr>
      <w:rFonts w:eastAsiaTheme="minorEastAsia" w:cstheme="minorBidi"/>
      <w:sz w:val="28"/>
    </w:rPr>
  </w:style>
  <w:style w:type="paragraph" w:styleId="17">
    <w:name w:val="Balloon Text"/>
    <w:basedOn w:val="1"/>
    <w:link w:val="70"/>
    <w:semiHidden/>
    <w:qFormat/>
    <w:uiPriority w:val="0"/>
    <w:rPr>
      <w:sz w:val="28"/>
      <w:szCs w:val="18"/>
    </w:rPr>
  </w:style>
  <w:style w:type="paragraph" w:styleId="18">
    <w:name w:val="Body Text 3"/>
    <w:basedOn w:val="1"/>
    <w:link w:val="144"/>
    <w:qFormat/>
    <w:uiPriority w:val="0"/>
    <w:pPr>
      <w:spacing w:after="120"/>
    </w:pPr>
    <w:rPr>
      <w:rFonts w:ascii="Calibri" w:hAnsi="Calibri"/>
      <w:sz w:val="16"/>
      <w:szCs w:val="16"/>
    </w:rPr>
  </w:style>
  <w:style w:type="paragraph" w:styleId="19">
    <w:name w:val="Body Text"/>
    <w:basedOn w:val="1"/>
    <w:link w:val="132"/>
    <w:qFormat/>
    <w:uiPriority w:val="0"/>
    <w:pPr>
      <w:spacing w:after="120"/>
    </w:pPr>
    <w:rPr>
      <w:rFonts w:ascii="Calibri" w:hAnsi="Calibri"/>
    </w:rPr>
  </w:style>
  <w:style w:type="paragraph" w:styleId="20">
    <w:name w:val="Body Text Indent"/>
    <w:basedOn w:val="1"/>
    <w:link w:val="79"/>
    <w:qFormat/>
    <w:uiPriority w:val="0"/>
    <w:pPr>
      <w:ind w:firstLine="570"/>
    </w:pPr>
    <w:rPr>
      <w:rFonts w:ascii="宋体" w:hAnsi="宋体"/>
      <w:sz w:val="24"/>
    </w:rPr>
  </w:style>
  <w:style w:type="paragraph" w:styleId="2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2">
    <w:name w:val="toc 5"/>
    <w:basedOn w:val="1"/>
    <w:next w:val="1"/>
    <w:qFormat/>
    <w:uiPriority w:val="0"/>
    <w:pPr>
      <w:ind w:left="840"/>
      <w:jc w:val="left"/>
    </w:pPr>
    <w:rPr>
      <w:rFonts w:ascii="Calibri" w:hAnsi="Calibri" w:cs="Calibri"/>
      <w:sz w:val="18"/>
      <w:szCs w:val="18"/>
    </w:rPr>
  </w:style>
  <w:style w:type="paragraph" w:styleId="23">
    <w:name w:val="toc 3"/>
    <w:basedOn w:val="1"/>
    <w:next w:val="1"/>
    <w:qFormat/>
    <w:uiPriority w:val="39"/>
    <w:pPr>
      <w:ind w:left="840" w:leftChars="400"/>
    </w:pPr>
  </w:style>
  <w:style w:type="paragraph" w:styleId="24">
    <w:name w:val="Plain Text"/>
    <w:basedOn w:val="1"/>
    <w:link w:val="95"/>
    <w:qFormat/>
    <w:uiPriority w:val="0"/>
    <w:rPr>
      <w:rFonts w:ascii="宋体" w:hAnsi="Courier New" w:cstheme="minorBidi"/>
    </w:rPr>
  </w:style>
  <w:style w:type="paragraph" w:styleId="25">
    <w:name w:val="toc 8"/>
    <w:basedOn w:val="1"/>
    <w:next w:val="1"/>
    <w:qFormat/>
    <w:uiPriority w:val="0"/>
    <w:pPr>
      <w:ind w:left="1470"/>
      <w:jc w:val="left"/>
    </w:pPr>
    <w:rPr>
      <w:rFonts w:ascii="Calibri" w:hAnsi="Calibri" w:cs="Calibri"/>
      <w:sz w:val="18"/>
      <w:szCs w:val="18"/>
    </w:rPr>
  </w:style>
  <w:style w:type="paragraph" w:styleId="26">
    <w:name w:val="Date"/>
    <w:basedOn w:val="1"/>
    <w:next w:val="1"/>
    <w:link w:val="85"/>
    <w:qFormat/>
    <w:uiPriority w:val="0"/>
    <w:pPr>
      <w:ind w:left="100" w:leftChars="2500"/>
    </w:pPr>
    <w:rPr>
      <w:sz w:val="28"/>
    </w:rPr>
  </w:style>
  <w:style w:type="paragraph" w:styleId="27">
    <w:name w:val="Body Text Indent 2"/>
    <w:basedOn w:val="1"/>
    <w:link w:val="89"/>
    <w:qFormat/>
    <w:uiPriority w:val="0"/>
    <w:pPr>
      <w:spacing w:line="300" w:lineRule="auto"/>
      <w:ind w:firstLine="540" w:firstLineChars="225"/>
    </w:pPr>
    <w:rPr>
      <w:rFonts w:ascii="宋体" w:hAnsi="宋体"/>
      <w:color w:val="000000"/>
      <w:sz w:val="24"/>
    </w:rPr>
  </w:style>
  <w:style w:type="paragraph" w:styleId="28">
    <w:name w:val="footer"/>
    <w:basedOn w:val="1"/>
    <w:link w:val="56"/>
    <w:unhideWhenUsed/>
    <w:qFormat/>
    <w:uiPriority w:val="0"/>
    <w:pPr>
      <w:tabs>
        <w:tab w:val="center" w:pos="4153"/>
        <w:tab w:val="right" w:pos="8306"/>
      </w:tabs>
      <w:snapToGrid w:val="0"/>
      <w:jc w:val="left"/>
    </w:pPr>
    <w:rPr>
      <w:sz w:val="18"/>
      <w:szCs w:val="18"/>
    </w:rPr>
  </w:style>
  <w:style w:type="paragraph" w:styleId="29">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0"/>
    <w:pPr>
      <w:ind w:left="630"/>
      <w:jc w:val="left"/>
    </w:pPr>
    <w:rPr>
      <w:rFonts w:ascii="Calibri" w:hAnsi="Calibri" w:cs="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style>
  <w:style w:type="paragraph" w:styleId="34">
    <w:name w:val="Subtitle"/>
    <w:basedOn w:val="1"/>
    <w:next w:val="1"/>
    <w:link w:val="87"/>
    <w:qFormat/>
    <w:uiPriority w:val="0"/>
    <w:pPr>
      <w:spacing w:before="240" w:after="60" w:line="312" w:lineRule="auto"/>
      <w:jc w:val="center"/>
      <w:outlineLvl w:val="1"/>
    </w:pPr>
    <w:rPr>
      <w:rFonts w:ascii="Cambria" w:hAnsi="Cambria"/>
      <w:b/>
      <w:bCs/>
      <w:kern w:val="28"/>
      <w:sz w:val="32"/>
      <w:szCs w:val="32"/>
    </w:rPr>
  </w:style>
  <w:style w:type="paragraph" w:styleId="35">
    <w:name w:val="footnote text"/>
    <w:basedOn w:val="1"/>
    <w:link w:val="83"/>
    <w:qFormat/>
    <w:uiPriority w:val="0"/>
    <w:pPr>
      <w:snapToGrid w:val="0"/>
      <w:jc w:val="left"/>
    </w:pPr>
    <w:rPr>
      <w:sz w:val="18"/>
      <w:szCs w:val="18"/>
    </w:rPr>
  </w:style>
  <w:style w:type="paragraph" w:styleId="36">
    <w:name w:val="toc 6"/>
    <w:basedOn w:val="1"/>
    <w:next w:val="1"/>
    <w:qFormat/>
    <w:uiPriority w:val="0"/>
    <w:pPr>
      <w:ind w:left="1050"/>
      <w:jc w:val="left"/>
    </w:pPr>
    <w:rPr>
      <w:rFonts w:ascii="Calibri" w:hAnsi="Calibri" w:cs="Calibri"/>
      <w:sz w:val="18"/>
      <w:szCs w:val="18"/>
    </w:rPr>
  </w:style>
  <w:style w:type="paragraph" w:styleId="37">
    <w:name w:val="Body Text Indent 3"/>
    <w:basedOn w:val="1"/>
    <w:link w:val="73"/>
    <w:qFormat/>
    <w:uiPriority w:val="0"/>
    <w:pPr>
      <w:snapToGrid w:val="0"/>
      <w:spacing w:after="120" w:line="360" w:lineRule="auto"/>
      <w:ind w:firstLine="1365"/>
    </w:pPr>
    <w:rPr>
      <w:rFonts w:ascii="宋体"/>
      <w:sz w:val="28"/>
      <w:szCs w:val="20"/>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1680"/>
      <w:jc w:val="left"/>
    </w:pPr>
    <w:rPr>
      <w:rFonts w:ascii="Calibri" w:hAnsi="Calibri" w:cs="Calibri"/>
      <w:sz w:val="18"/>
      <w:szCs w:val="18"/>
    </w:rPr>
  </w:style>
  <w:style w:type="paragraph" w:styleId="40">
    <w:name w:val="HTML Preformatted"/>
    <w:basedOn w:val="1"/>
    <w:link w:val="1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annotation subject"/>
    <w:basedOn w:val="16"/>
    <w:next w:val="16"/>
    <w:link w:val="75"/>
    <w:semiHidden/>
    <w:qFormat/>
    <w:uiPriority w:val="0"/>
    <w:rPr>
      <w:rFonts w:eastAsia="宋体" w:cs="Times New Roman"/>
      <w:b/>
      <w:bCs/>
      <w:sz w:val="21"/>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semiHidden/>
    <w:qFormat/>
    <w:uiPriority w:val="0"/>
    <w:rPr>
      <w:sz w:val="21"/>
      <w:szCs w:val="21"/>
    </w:rPr>
  </w:style>
  <w:style w:type="character" w:styleId="52">
    <w:name w:val="footnote reference"/>
    <w:qFormat/>
    <w:uiPriority w:val="0"/>
    <w:rPr>
      <w:vertAlign w:val="superscript"/>
    </w:rPr>
  </w:style>
  <w:style w:type="character" w:customStyle="1" w:styleId="53">
    <w:name w:val="标题 1 Char"/>
    <w:basedOn w:val="45"/>
    <w:link w:val="3"/>
    <w:qFormat/>
    <w:uiPriority w:val="0"/>
    <w:rPr>
      <w:rFonts w:ascii="Arial" w:hAnsi="Arial" w:eastAsia="宋体" w:cs="Times New Roman"/>
      <w:b/>
      <w:bCs/>
      <w:kern w:val="44"/>
      <w:sz w:val="28"/>
      <w:szCs w:val="44"/>
    </w:rPr>
  </w:style>
  <w:style w:type="character" w:customStyle="1" w:styleId="54">
    <w:name w:val="标题 2 Char"/>
    <w:basedOn w:val="45"/>
    <w:link w:val="5"/>
    <w:qFormat/>
    <w:uiPriority w:val="0"/>
    <w:rPr>
      <w:rFonts w:ascii="Arial" w:hAnsi="Arial" w:eastAsia="宋体" w:cs="Times New Roman"/>
      <w:b/>
      <w:bCs/>
      <w:kern w:val="0"/>
      <w:sz w:val="24"/>
      <w:szCs w:val="32"/>
    </w:rPr>
  </w:style>
  <w:style w:type="character" w:customStyle="1" w:styleId="55">
    <w:name w:val="页眉 Char"/>
    <w:basedOn w:val="45"/>
    <w:link w:val="29"/>
    <w:qFormat/>
    <w:uiPriority w:val="0"/>
    <w:rPr>
      <w:sz w:val="18"/>
      <w:szCs w:val="18"/>
    </w:rPr>
  </w:style>
  <w:style w:type="character" w:customStyle="1" w:styleId="56">
    <w:name w:val="页脚 Char"/>
    <w:basedOn w:val="45"/>
    <w:link w:val="28"/>
    <w:qFormat/>
    <w:uiPriority w:val="0"/>
    <w:rPr>
      <w:sz w:val="18"/>
      <w:szCs w:val="18"/>
    </w:rPr>
  </w:style>
  <w:style w:type="character" w:customStyle="1" w:styleId="57">
    <w:name w:val="标题 3 Char"/>
    <w:basedOn w:val="45"/>
    <w:link w:val="6"/>
    <w:qFormat/>
    <w:uiPriority w:val="0"/>
    <w:rPr>
      <w:rFonts w:ascii="Times New Roman" w:hAnsi="Times New Roman" w:eastAsia="宋体" w:cs="Times New Roman"/>
      <w:b/>
      <w:bCs/>
      <w:kern w:val="0"/>
      <w:sz w:val="24"/>
      <w:szCs w:val="32"/>
    </w:rPr>
  </w:style>
  <w:style w:type="character" w:customStyle="1" w:styleId="58">
    <w:name w:val="标题 4 Char"/>
    <w:basedOn w:val="45"/>
    <w:link w:val="7"/>
    <w:qFormat/>
    <w:uiPriority w:val="9"/>
    <w:rPr>
      <w:rFonts w:ascii="Cambria" w:hAnsi="Cambria" w:eastAsia="宋体" w:cs="Times New Roman"/>
      <w:b/>
      <w:bCs/>
      <w:kern w:val="0"/>
      <w:sz w:val="28"/>
      <w:szCs w:val="28"/>
    </w:rPr>
  </w:style>
  <w:style w:type="character" w:customStyle="1" w:styleId="59">
    <w:name w:val="标题 5 Char"/>
    <w:basedOn w:val="45"/>
    <w:link w:val="8"/>
    <w:qFormat/>
    <w:uiPriority w:val="0"/>
    <w:rPr>
      <w:rFonts w:ascii="Calibri" w:hAnsi="Calibri" w:eastAsia="宋体" w:cs="Times New Roman"/>
      <w:b/>
      <w:bCs/>
      <w:kern w:val="0"/>
      <w:sz w:val="28"/>
      <w:szCs w:val="28"/>
    </w:rPr>
  </w:style>
  <w:style w:type="character" w:customStyle="1" w:styleId="60">
    <w:name w:val="标题 6 Char"/>
    <w:basedOn w:val="45"/>
    <w:link w:val="9"/>
    <w:qFormat/>
    <w:uiPriority w:val="0"/>
    <w:rPr>
      <w:rFonts w:ascii="Arial" w:hAnsi="Arial" w:eastAsia="黑体" w:cs="Times New Roman"/>
      <w:b/>
      <w:bCs/>
      <w:kern w:val="0"/>
      <w:sz w:val="24"/>
      <w:szCs w:val="24"/>
    </w:rPr>
  </w:style>
  <w:style w:type="character" w:customStyle="1" w:styleId="61">
    <w:name w:val="标题 7 Char"/>
    <w:basedOn w:val="45"/>
    <w:link w:val="10"/>
    <w:qFormat/>
    <w:uiPriority w:val="0"/>
    <w:rPr>
      <w:rFonts w:ascii="Calibri" w:hAnsi="Calibri" w:eastAsia="宋体" w:cs="Times New Roman"/>
      <w:b/>
      <w:bCs/>
      <w:kern w:val="0"/>
      <w:sz w:val="24"/>
      <w:szCs w:val="24"/>
    </w:rPr>
  </w:style>
  <w:style w:type="character" w:customStyle="1" w:styleId="62">
    <w:name w:val="标题 8 Char"/>
    <w:basedOn w:val="45"/>
    <w:link w:val="11"/>
    <w:qFormat/>
    <w:uiPriority w:val="0"/>
    <w:rPr>
      <w:rFonts w:ascii="Arial" w:hAnsi="Arial" w:eastAsia="黑体" w:cs="Times New Roman"/>
      <w:kern w:val="0"/>
      <w:sz w:val="24"/>
      <w:szCs w:val="24"/>
    </w:rPr>
  </w:style>
  <w:style w:type="character" w:customStyle="1" w:styleId="63">
    <w:name w:val="标题 9 Char"/>
    <w:basedOn w:val="45"/>
    <w:link w:val="12"/>
    <w:qFormat/>
    <w:uiPriority w:val="0"/>
    <w:rPr>
      <w:rFonts w:ascii="Arial" w:hAnsi="Arial" w:eastAsia="黑体" w:cs="Times New Roman"/>
      <w:kern w:val="0"/>
      <w:szCs w:val="21"/>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页眉1 Char"/>
    <w:link w:val="66"/>
    <w:qFormat/>
    <w:uiPriority w:val="0"/>
    <w:rPr>
      <w:sz w:val="18"/>
      <w:szCs w:val="18"/>
    </w:rPr>
  </w:style>
  <w:style w:type="paragraph" w:customStyle="1" w:styleId="66">
    <w:name w:val="页眉1"/>
    <w:basedOn w:val="29"/>
    <w:link w:val="65"/>
    <w:qFormat/>
    <w:uiPriority w:val="0"/>
    <w:pPr>
      <w:pBdr>
        <w:bottom w:val="none" w:color="auto" w:sz="0" w:space="0"/>
      </w:pBdr>
      <w:jc w:val="both"/>
    </w:pPr>
  </w:style>
  <w:style w:type="character" w:customStyle="1" w:styleId="67">
    <w:name w:val="unnamed1"/>
    <w:basedOn w:val="45"/>
    <w:qFormat/>
    <w:uiPriority w:val="0"/>
  </w:style>
  <w:style w:type="character" w:customStyle="1" w:styleId="68">
    <w:name w:val="批注文字 Char"/>
    <w:link w:val="16"/>
    <w:qFormat/>
    <w:uiPriority w:val="0"/>
    <w:rPr>
      <w:rFonts w:ascii="Times New Roman" w:hAnsi="Times New Roman"/>
      <w:sz w:val="28"/>
      <w:szCs w:val="24"/>
    </w:rPr>
  </w:style>
  <w:style w:type="character" w:customStyle="1" w:styleId="69">
    <w:name w:val="批注文字 Char1"/>
    <w:basedOn w:val="45"/>
    <w:link w:val="16"/>
    <w:semiHidden/>
    <w:qFormat/>
    <w:uiPriority w:val="99"/>
    <w:rPr>
      <w:rFonts w:ascii="Times New Roman" w:hAnsi="Times New Roman" w:eastAsia="宋体" w:cs="Times New Roman"/>
      <w:szCs w:val="24"/>
    </w:rPr>
  </w:style>
  <w:style w:type="character" w:customStyle="1" w:styleId="70">
    <w:name w:val="批注框文本 Char"/>
    <w:basedOn w:val="45"/>
    <w:link w:val="17"/>
    <w:semiHidden/>
    <w:qFormat/>
    <w:uiPriority w:val="0"/>
    <w:rPr>
      <w:rFonts w:ascii="Times New Roman" w:hAnsi="Times New Roman" w:eastAsia="宋体" w:cs="Times New Roman"/>
      <w:sz w:val="28"/>
      <w:szCs w:val="18"/>
    </w:rPr>
  </w:style>
  <w:style w:type="character" w:customStyle="1" w:styleId="71">
    <w:name w:val="apple-converted-space"/>
    <w:qFormat/>
    <w:uiPriority w:val="99"/>
    <w:rPr>
      <w:rFonts w:cs="Times New Roman"/>
    </w:rPr>
  </w:style>
  <w:style w:type="character" w:customStyle="1" w:styleId="72">
    <w:name w:val="正文文本缩进 3 Char"/>
    <w:link w:val="37"/>
    <w:qFormat/>
    <w:uiPriority w:val="0"/>
    <w:rPr>
      <w:rFonts w:ascii="宋体" w:hAnsi="Times New Roman" w:eastAsia="宋体" w:cs="Times New Roman"/>
      <w:sz w:val="28"/>
      <w:szCs w:val="20"/>
    </w:rPr>
  </w:style>
  <w:style w:type="character" w:customStyle="1" w:styleId="73">
    <w:name w:val="正文文本缩进 3 Char1"/>
    <w:basedOn w:val="45"/>
    <w:link w:val="37"/>
    <w:semiHidden/>
    <w:qFormat/>
    <w:uiPriority w:val="99"/>
    <w:rPr>
      <w:rFonts w:ascii="Times New Roman" w:hAnsi="Times New Roman" w:eastAsia="宋体" w:cs="Times New Roman"/>
      <w:sz w:val="16"/>
      <w:szCs w:val="16"/>
    </w:rPr>
  </w:style>
  <w:style w:type="character" w:customStyle="1" w:styleId="74">
    <w:name w:val="批注主题 Char"/>
    <w:link w:val="42"/>
    <w:semiHidden/>
    <w:qFormat/>
    <w:uiPriority w:val="0"/>
    <w:rPr>
      <w:rFonts w:ascii="Times New Roman" w:hAnsi="Times New Roman" w:eastAsia="宋体" w:cs="Times New Roman"/>
      <w:b/>
      <w:bCs/>
      <w:szCs w:val="24"/>
    </w:rPr>
  </w:style>
  <w:style w:type="character" w:customStyle="1" w:styleId="75">
    <w:name w:val="批注主题 Char1"/>
    <w:basedOn w:val="69"/>
    <w:link w:val="42"/>
    <w:semiHidden/>
    <w:qFormat/>
    <w:uiPriority w:val="99"/>
    <w:rPr>
      <w:b/>
      <w:bCs/>
    </w:rPr>
  </w:style>
  <w:style w:type="character" w:customStyle="1" w:styleId="76">
    <w:name w:val="h2"/>
    <w:qFormat/>
    <w:uiPriority w:val="0"/>
    <w:rPr>
      <w:color w:val="000000"/>
      <w:sz w:val="24"/>
      <w:szCs w:val="24"/>
    </w:rPr>
  </w:style>
  <w:style w:type="character" w:customStyle="1" w:styleId="77">
    <w:name w:val="font61"/>
    <w:qFormat/>
    <w:uiPriority w:val="0"/>
    <w:rPr>
      <w:rFonts w:hint="eastAsia" w:ascii="宋体" w:hAnsi="宋体" w:eastAsia="宋体" w:cs="宋体"/>
      <w:color w:val="000000"/>
      <w:sz w:val="20"/>
      <w:szCs w:val="20"/>
      <w:u w:val="none"/>
    </w:rPr>
  </w:style>
  <w:style w:type="character" w:customStyle="1" w:styleId="78">
    <w:name w:val="正文文本缩进 Char"/>
    <w:link w:val="20"/>
    <w:qFormat/>
    <w:uiPriority w:val="0"/>
    <w:rPr>
      <w:rFonts w:ascii="宋体" w:hAnsi="宋体" w:eastAsia="宋体" w:cs="Times New Roman"/>
      <w:sz w:val="24"/>
      <w:szCs w:val="24"/>
    </w:rPr>
  </w:style>
  <w:style w:type="character" w:customStyle="1" w:styleId="79">
    <w:name w:val="正文文本缩进 Char1"/>
    <w:basedOn w:val="45"/>
    <w:link w:val="20"/>
    <w:semiHidden/>
    <w:qFormat/>
    <w:uiPriority w:val="99"/>
    <w:rPr>
      <w:rFonts w:ascii="Times New Roman" w:hAnsi="Times New Roman" w:eastAsia="宋体" w:cs="Times New Roman"/>
      <w:szCs w:val="24"/>
    </w:rPr>
  </w:style>
  <w:style w:type="character" w:customStyle="1" w:styleId="80">
    <w:name w:val="正文缩进 Char"/>
    <w:link w:val="14"/>
    <w:qFormat/>
    <w:uiPriority w:val="0"/>
    <w:rPr>
      <w:rFonts w:eastAsia="宋体"/>
    </w:rPr>
  </w:style>
  <w:style w:type="character" w:customStyle="1" w:styleId="81">
    <w:name w:val="纯文本 Char1"/>
    <w:semiHidden/>
    <w:qFormat/>
    <w:uiPriority w:val="99"/>
    <w:rPr>
      <w:rFonts w:ascii="宋体" w:hAnsi="Courier New" w:eastAsia="宋体" w:cs="Courier New"/>
      <w:szCs w:val="21"/>
    </w:rPr>
  </w:style>
  <w:style w:type="character" w:customStyle="1" w:styleId="82">
    <w:name w:val="脚注文本 Char"/>
    <w:link w:val="35"/>
    <w:qFormat/>
    <w:uiPriority w:val="0"/>
    <w:rPr>
      <w:rFonts w:ascii="Times New Roman" w:hAnsi="Times New Roman" w:eastAsia="宋体" w:cs="Times New Roman"/>
      <w:sz w:val="18"/>
      <w:szCs w:val="18"/>
    </w:rPr>
  </w:style>
  <w:style w:type="character" w:customStyle="1" w:styleId="83">
    <w:name w:val="脚注文本 Char1"/>
    <w:basedOn w:val="45"/>
    <w:link w:val="35"/>
    <w:semiHidden/>
    <w:qFormat/>
    <w:uiPriority w:val="99"/>
    <w:rPr>
      <w:rFonts w:ascii="Times New Roman" w:hAnsi="Times New Roman" w:eastAsia="宋体" w:cs="Times New Roman"/>
      <w:sz w:val="18"/>
      <w:szCs w:val="18"/>
    </w:rPr>
  </w:style>
  <w:style w:type="character" w:customStyle="1" w:styleId="84">
    <w:name w:val="日期 Char"/>
    <w:link w:val="26"/>
    <w:qFormat/>
    <w:uiPriority w:val="0"/>
    <w:rPr>
      <w:rFonts w:ascii="Times New Roman" w:hAnsi="Times New Roman" w:eastAsia="宋体" w:cs="Times New Roman"/>
      <w:sz w:val="28"/>
      <w:szCs w:val="24"/>
    </w:rPr>
  </w:style>
  <w:style w:type="character" w:customStyle="1" w:styleId="85">
    <w:name w:val="日期 Char1"/>
    <w:basedOn w:val="45"/>
    <w:link w:val="26"/>
    <w:semiHidden/>
    <w:qFormat/>
    <w:uiPriority w:val="99"/>
    <w:rPr>
      <w:rFonts w:ascii="Times New Roman" w:hAnsi="Times New Roman" w:eastAsia="宋体" w:cs="Times New Roman"/>
      <w:szCs w:val="24"/>
    </w:rPr>
  </w:style>
  <w:style w:type="character" w:customStyle="1" w:styleId="86">
    <w:name w:val="副标题 Char"/>
    <w:link w:val="34"/>
    <w:qFormat/>
    <w:uiPriority w:val="0"/>
    <w:rPr>
      <w:rFonts w:ascii="Cambria" w:hAnsi="Cambria" w:eastAsia="宋体" w:cs="Times New Roman"/>
      <w:b/>
      <w:bCs/>
      <w:kern w:val="28"/>
      <w:sz w:val="32"/>
      <w:szCs w:val="32"/>
    </w:rPr>
  </w:style>
  <w:style w:type="character" w:customStyle="1" w:styleId="87">
    <w:name w:val="副标题 Char1"/>
    <w:basedOn w:val="45"/>
    <w:link w:val="34"/>
    <w:qFormat/>
    <w:uiPriority w:val="11"/>
    <w:rPr>
      <w:rFonts w:eastAsia="宋体" w:asciiTheme="majorHAnsi" w:hAnsiTheme="majorHAnsi" w:cstheme="majorBidi"/>
      <w:b/>
      <w:bCs/>
      <w:kern w:val="28"/>
      <w:sz w:val="32"/>
      <w:szCs w:val="32"/>
    </w:rPr>
  </w:style>
  <w:style w:type="character" w:customStyle="1" w:styleId="88">
    <w:name w:val="正文文本缩进 2 Char"/>
    <w:link w:val="27"/>
    <w:qFormat/>
    <w:uiPriority w:val="0"/>
    <w:rPr>
      <w:rFonts w:ascii="宋体" w:hAnsi="宋体" w:eastAsia="宋体" w:cs="Times New Roman"/>
      <w:color w:val="000000"/>
      <w:sz w:val="24"/>
      <w:szCs w:val="24"/>
    </w:rPr>
  </w:style>
  <w:style w:type="character" w:customStyle="1" w:styleId="89">
    <w:name w:val="正文文本缩进 2 Char1"/>
    <w:basedOn w:val="45"/>
    <w:link w:val="27"/>
    <w:semiHidden/>
    <w:qFormat/>
    <w:uiPriority w:val="99"/>
    <w:rPr>
      <w:rFonts w:ascii="Times New Roman" w:hAnsi="Times New Roman" w:eastAsia="宋体" w:cs="Times New Roman"/>
      <w:szCs w:val="24"/>
    </w:rPr>
  </w:style>
  <w:style w:type="character" w:customStyle="1" w:styleId="90">
    <w:name w:val="文档结构图 Char"/>
    <w:link w:val="15"/>
    <w:semiHidden/>
    <w:qFormat/>
    <w:uiPriority w:val="0"/>
    <w:rPr>
      <w:rFonts w:ascii="Times New Roman" w:hAnsi="Times New Roman" w:eastAsia="宋体" w:cs="Times New Roman"/>
      <w:szCs w:val="24"/>
      <w:shd w:val="clear" w:color="auto" w:fill="000080"/>
    </w:rPr>
  </w:style>
  <w:style w:type="character" w:customStyle="1" w:styleId="91">
    <w:name w:val="文档结构图 Char1"/>
    <w:basedOn w:val="45"/>
    <w:link w:val="15"/>
    <w:semiHidden/>
    <w:qFormat/>
    <w:uiPriority w:val="99"/>
    <w:rPr>
      <w:rFonts w:ascii="宋体" w:hAnsi="Times New Roman" w:eastAsia="宋体" w:cs="Times New Roman"/>
      <w:sz w:val="18"/>
      <w:szCs w:val="18"/>
    </w:rPr>
  </w:style>
  <w:style w:type="character" w:customStyle="1" w:styleId="92">
    <w:name w:val="列出段落 Char"/>
    <w:link w:val="93"/>
    <w:qFormat/>
    <w:locked/>
    <w:uiPriority w:val="99"/>
    <w:rPr>
      <w:rFonts w:ascii="Times New Roman" w:hAnsi="Times New Roman"/>
      <w:szCs w:val="24"/>
    </w:rPr>
  </w:style>
  <w:style w:type="paragraph" w:styleId="93">
    <w:name w:val="List Paragraph"/>
    <w:basedOn w:val="1"/>
    <w:link w:val="92"/>
    <w:qFormat/>
    <w:uiPriority w:val="99"/>
    <w:pPr>
      <w:ind w:firstLine="420" w:firstLineChars="200"/>
    </w:pPr>
    <w:rPr>
      <w:rFonts w:eastAsiaTheme="minorEastAsia" w:cstheme="minorBidi"/>
    </w:rPr>
  </w:style>
  <w:style w:type="character" w:customStyle="1" w:styleId="94">
    <w:name w:val="纯文本 Char"/>
    <w:link w:val="24"/>
    <w:qFormat/>
    <w:uiPriority w:val="0"/>
    <w:rPr>
      <w:rFonts w:ascii="宋体" w:hAnsi="Courier New" w:eastAsia="宋体"/>
      <w:szCs w:val="24"/>
    </w:rPr>
  </w:style>
  <w:style w:type="character" w:customStyle="1" w:styleId="95">
    <w:name w:val="纯文本 Char2"/>
    <w:basedOn w:val="45"/>
    <w:link w:val="24"/>
    <w:semiHidden/>
    <w:qFormat/>
    <w:uiPriority w:val="99"/>
    <w:rPr>
      <w:rFonts w:ascii="宋体" w:hAnsi="Courier New" w:eastAsia="宋体" w:cs="Courier New"/>
      <w:szCs w:val="21"/>
    </w:rPr>
  </w:style>
  <w:style w:type="character" w:customStyle="1" w:styleId="96">
    <w:name w:val="font101"/>
    <w:qFormat/>
    <w:uiPriority w:val="0"/>
    <w:rPr>
      <w:rFonts w:hint="eastAsia" w:ascii="黑体" w:hAnsi="宋体" w:eastAsia="黑体" w:cs="黑体"/>
      <w:color w:val="000000"/>
      <w:sz w:val="20"/>
      <w:szCs w:val="20"/>
      <w:u w:val="none"/>
    </w:rPr>
  </w:style>
  <w:style w:type="paragraph" w:customStyle="1" w:styleId="97">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8">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1"/>
    <w:basedOn w:val="1"/>
    <w:qFormat/>
    <w:uiPriority w:val="0"/>
    <w:pPr>
      <w:widowControl/>
      <w:spacing w:after="160" w:line="240" w:lineRule="exact"/>
      <w:jc w:val="left"/>
    </w:pPr>
    <w:rPr>
      <w:rFonts w:ascii="Verdana" w:hAnsi="Verdana"/>
      <w:kern w:val="0"/>
      <w:szCs w:val="20"/>
      <w:lang w:eastAsia="en-US"/>
    </w:rPr>
  </w:style>
  <w:style w:type="paragraph" w:customStyle="1" w:styleId="100">
    <w:name w:val="_Style 1"/>
    <w:basedOn w:val="1"/>
    <w:qFormat/>
    <w:uiPriority w:val="99"/>
    <w:pPr>
      <w:ind w:firstLine="420" w:firstLineChars="200"/>
    </w:pPr>
  </w:style>
  <w:style w:type="paragraph" w:customStyle="1" w:styleId="10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102">
    <w:name w:val="Char"/>
    <w:basedOn w:val="1"/>
    <w:qFormat/>
    <w:uiPriority w:val="0"/>
    <w:pPr>
      <w:tabs>
        <w:tab w:val="left" w:pos="0"/>
      </w:tabs>
      <w:ind w:left="964" w:hanging="964"/>
    </w:pPr>
    <w:rPr>
      <w:sz w:val="24"/>
    </w:rPr>
  </w:style>
  <w:style w:type="paragraph" w:customStyle="1" w:styleId="103">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4">
    <w:name w:val="Char Char Char Char"/>
    <w:basedOn w:val="1"/>
    <w:qFormat/>
    <w:uiPriority w:val="0"/>
    <w:rPr>
      <w:szCs w:val="20"/>
    </w:rPr>
  </w:style>
  <w:style w:type="paragraph" w:customStyle="1" w:styleId="1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7">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8">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9">
    <w:name w:val="样式2"/>
    <w:basedOn w:val="1"/>
    <w:qFormat/>
    <w:uiPriority w:val="0"/>
    <w:rPr>
      <w:b/>
      <w:sz w:val="24"/>
    </w:rPr>
  </w:style>
  <w:style w:type="paragraph" w:customStyle="1" w:styleId="11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 Char"/>
    <w:basedOn w:val="1"/>
    <w:qFormat/>
    <w:uiPriority w:val="0"/>
    <w:rPr>
      <w:rFonts w:ascii="宋体" w:hAnsi="宋体"/>
      <w:b/>
      <w:sz w:val="28"/>
      <w:szCs w:val="28"/>
    </w:rPr>
  </w:style>
  <w:style w:type="paragraph" w:customStyle="1" w:styleId="113">
    <w:name w:val="列出段落1"/>
    <w:basedOn w:val="1"/>
    <w:qFormat/>
    <w:uiPriority w:val="0"/>
    <w:pPr>
      <w:ind w:firstLine="420" w:firstLineChars="200"/>
    </w:pPr>
    <w:rPr>
      <w:rFonts w:ascii="Calibri" w:hAnsi="Calibri"/>
      <w:szCs w:val="21"/>
    </w:rPr>
  </w:style>
  <w:style w:type="paragraph" w:customStyle="1" w:styleId="114">
    <w:name w:val="Char1 Char Char Char"/>
    <w:basedOn w:val="1"/>
    <w:qFormat/>
    <w:uiPriority w:val="0"/>
    <w:pPr>
      <w:ind w:left="420" w:hanging="420"/>
    </w:pPr>
    <w:rPr>
      <w:sz w:val="24"/>
    </w:rPr>
  </w:style>
  <w:style w:type="paragraph" w:customStyle="1" w:styleId="115">
    <w:name w:val="无间隔1"/>
    <w:link w:val="116"/>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6">
    <w:name w:val="No Spacing Char"/>
    <w:basedOn w:val="45"/>
    <w:link w:val="115"/>
    <w:qFormat/>
    <w:locked/>
    <w:uiPriority w:val="0"/>
    <w:rPr>
      <w:rFonts w:ascii="Times New Roman" w:hAnsi="Times New Roman" w:eastAsia="宋体" w:cs="Times New Roman"/>
      <w:szCs w:val="21"/>
    </w:rPr>
  </w:style>
  <w:style w:type="paragraph" w:customStyle="1" w:styleId="117">
    <w:name w:val="p0"/>
    <w:basedOn w:val="1"/>
    <w:qFormat/>
    <w:uiPriority w:val="0"/>
    <w:pPr>
      <w:widowControl/>
    </w:pPr>
    <w:rPr>
      <w:rFonts w:ascii="Calibri" w:hAnsi="Calibri"/>
      <w:kern w:val="0"/>
      <w:szCs w:val="21"/>
    </w:rPr>
  </w:style>
  <w:style w:type="character" w:customStyle="1" w:styleId="118">
    <w:name w:val="Char Char22"/>
    <w:qFormat/>
    <w:uiPriority w:val="0"/>
    <w:rPr>
      <w:rFonts w:ascii="Times New Roman" w:hAnsi="Times New Roman"/>
      <w:b/>
      <w:bCs/>
      <w:sz w:val="24"/>
      <w:szCs w:val="24"/>
    </w:rPr>
  </w:style>
  <w:style w:type="character" w:customStyle="1" w:styleId="119">
    <w:name w:val="Char Char21"/>
    <w:qFormat/>
    <w:uiPriority w:val="0"/>
    <w:rPr>
      <w:rFonts w:ascii="Arial" w:hAnsi="Arial" w:eastAsia="黑体"/>
      <w:b/>
      <w:bCs/>
      <w:kern w:val="2"/>
      <w:sz w:val="32"/>
      <w:szCs w:val="32"/>
    </w:rPr>
  </w:style>
  <w:style w:type="character" w:customStyle="1" w:styleId="120">
    <w:name w:val="Char Char20"/>
    <w:qFormat/>
    <w:uiPriority w:val="0"/>
    <w:rPr>
      <w:rFonts w:ascii="楷体_GB2312" w:hAnsi="宋体" w:eastAsia="楷体_GB2312"/>
      <w:b/>
      <w:bCs/>
      <w:kern w:val="2"/>
      <w:sz w:val="32"/>
      <w:szCs w:val="24"/>
    </w:rPr>
  </w:style>
  <w:style w:type="character" w:customStyle="1" w:styleId="121">
    <w:name w:val="Char Char19"/>
    <w:qFormat/>
    <w:uiPriority w:val="0"/>
    <w:rPr>
      <w:rFonts w:ascii="Arial" w:hAnsi="Arial" w:eastAsia="黑体"/>
      <w:b/>
      <w:bCs/>
      <w:sz w:val="28"/>
      <w:szCs w:val="28"/>
    </w:rPr>
  </w:style>
  <w:style w:type="character" w:customStyle="1" w:styleId="122">
    <w:name w:val="Char Char13"/>
    <w:qFormat/>
    <w:uiPriority w:val="0"/>
    <w:rPr>
      <w:rFonts w:ascii="Times New Roman" w:hAnsi="Times New Roman"/>
      <w:kern w:val="2"/>
      <w:sz w:val="18"/>
      <w:szCs w:val="18"/>
    </w:rPr>
  </w:style>
  <w:style w:type="character" w:customStyle="1" w:styleId="123">
    <w:name w:val="Char Char12"/>
    <w:qFormat/>
    <w:uiPriority w:val="0"/>
    <w:rPr>
      <w:rFonts w:ascii="Times New Roman" w:hAnsi="Times New Roman"/>
      <w:kern w:val="2"/>
      <w:sz w:val="18"/>
      <w:szCs w:val="18"/>
    </w:rPr>
  </w:style>
  <w:style w:type="character" w:customStyle="1" w:styleId="124">
    <w:name w:val="f141"/>
    <w:qFormat/>
    <w:uiPriority w:val="0"/>
    <w:rPr>
      <w:sz w:val="21"/>
      <w:szCs w:val="21"/>
    </w:rPr>
  </w:style>
  <w:style w:type="character" w:customStyle="1" w:styleId="125">
    <w:name w:val="p141"/>
    <w:qFormat/>
    <w:uiPriority w:val="0"/>
    <w:rPr>
      <w:sz w:val="21"/>
      <w:szCs w:val="21"/>
    </w:rPr>
  </w:style>
  <w:style w:type="character" w:customStyle="1" w:styleId="126">
    <w:name w:val="Char Char2"/>
    <w:qFormat/>
    <w:locked/>
    <w:uiPriority w:val="0"/>
    <w:rPr>
      <w:sz w:val="18"/>
    </w:rPr>
  </w:style>
  <w:style w:type="character" w:customStyle="1" w:styleId="127">
    <w:name w:val="s10pv000000"/>
    <w:qFormat/>
    <w:uiPriority w:val="0"/>
  </w:style>
  <w:style w:type="character" w:customStyle="1" w:styleId="128">
    <w:name w:val="普通文字 Char Char1"/>
    <w:qFormat/>
    <w:uiPriority w:val="0"/>
    <w:rPr>
      <w:rFonts w:ascii="宋体" w:hAnsi="Courier New" w:cs="Courier New"/>
      <w:szCs w:val="21"/>
    </w:rPr>
  </w:style>
  <w:style w:type="character" w:customStyle="1" w:styleId="129">
    <w:name w:val="Char Char11"/>
    <w:qFormat/>
    <w:uiPriority w:val="0"/>
    <w:rPr>
      <w:szCs w:val="24"/>
    </w:rPr>
  </w:style>
  <w:style w:type="paragraph" w:customStyle="1" w:styleId="130">
    <w:name w:val="样式 标题 4 + 段前: 5 磅 段后: 5 磅 行距: 单倍行距"/>
    <w:basedOn w:val="7"/>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31">
    <w:name w:val="基准标题"/>
    <w:basedOn w:val="19"/>
    <w:next w:val="19"/>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32">
    <w:name w:val="正文文本 Char"/>
    <w:basedOn w:val="45"/>
    <w:link w:val="19"/>
    <w:qFormat/>
    <w:uiPriority w:val="0"/>
    <w:rPr>
      <w:rFonts w:ascii="Calibri" w:hAnsi="Calibri" w:eastAsia="宋体" w:cs="Times New Roman"/>
      <w:szCs w:val="24"/>
    </w:rPr>
  </w:style>
  <w:style w:type="paragraph" w:customStyle="1" w:styleId="133">
    <w:name w:val="表格"/>
    <w:basedOn w:val="1"/>
    <w:qFormat/>
    <w:uiPriority w:val="0"/>
    <w:pPr>
      <w:spacing w:line="420" w:lineRule="exact"/>
      <w:ind w:left="84" w:leftChars="40"/>
      <w:jc w:val="center"/>
    </w:pPr>
    <w:rPr>
      <w:rFonts w:ascii="宋体" w:hAnsi="宋体"/>
      <w:bCs/>
      <w:spacing w:val="-12"/>
    </w:rPr>
  </w:style>
  <w:style w:type="paragraph" w:customStyle="1" w:styleId="134">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5">
    <w:name w:val="样式4"/>
    <w:basedOn w:val="1"/>
    <w:qFormat/>
    <w:uiPriority w:val="0"/>
    <w:pPr>
      <w:tabs>
        <w:tab w:val="left" w:pos="2328"/>
      </w:tabs>
      <w:ind w:left="2328" w:hanging="708"/>
    </w:pPr>
  </w:style>
  <w:style w:type="paragraph" w:customStyle="1" w:styleId="1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7">
    <w:name w:val="3 Char"/>
    <w:basedOn w:val="1"/>
    <w:qFormat/>
    <w:uiPriority w:val="0"/>
    <w:pPr>
      <w:widowControl/>
      <w:spacing w:line="400" w:lineRule="exact"/>
      <w:jc w:val="center"/>
    </w:pPr>
    <w:rPr>
      <w:rFonts w:ascii="Verdana" w:hAnsi="Verdana"/>
      <w:kern w:val="0"/>
      <w:szCs w:val="20"/>
      <w:lang w:eastAsia="en-US"/>
    </w:rPr>
  </w:style>
  <w:style w:type="paragraph" w:customStyle="1" w:styleId="138">
    <w:name w:val="样式 标题 2 + 宋体 五号 非加粗 黑色"/>
    <w:basedOn w:val="5"/>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9">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40">
    <w:name w:val="Char Char10"/>
    <w:qFormat/>
    <w:uiPriority w:val="0"/>
    <w:rPr>
      <w:rFonts w:ascii="Times New Roman" w:hAnsi="Times New Roman"/>
      <w:kern w:val="2"/>
      <w:sz w:val="24"/>
      <w:szCs w:val="24"/>
    </w:rPr>
  </w:style>
  <w:style w:type="paragraph" w:customStyle="1" w:styleId="141">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3">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4">
    <w:name w:val="正文文本 3 Char"/>
    <w:basedOn w:val="45"/>
    <w:link w:val="18"/>
    <w:qFormat/>
    <w:uiPriority w:val="0"/>
    <w:rPr>
      <w:rFonts w:ascii="Calibri" w:hAnsi="Calibri" w:eastAsia="宋体" w:cs="Times New Roman"/>
      <w:sz w:val="16"/>
      <w:szCs w:val="16"/>
    </w:rPr>
  </w:style>
  <w:style w:type="paragraph" w:customStyle="1" w:styleId="145">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6">
    <w:name w:val="默认段落字体 Para Char Char Char Char"/>
    <w:basedOn w:val="1"/>
    <w:qFormat/>
    <w:uiPriority w:val="0"/>
    <w:rPr>
      <w:szCs w:val="20"/>
    </w:rPr>
  </w:style>
  <w:style w:type="paragraph" w:customStyle="1" w:styleId="147">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8">
    <w:name w:val="Char Char6"/>
    <w:qFormat/>
    <w:uiPriority w:val="0"/>
    <w:rPr>
      <w:rFonts w:ascii="Times New Roman" w:hAnsi="Times New Roman"/>
      <w:kern w:val="2"/>
      <w:sz w:val="21"/>
      <w:shd w:val="clear" w:color="auto" w:fill="000080"/>
    </w:rPr>
  </w:style>
  <w:style w:type="paragraph" w:customStyle="1" w:styleId="149">
    <w:name w:val="Char Char Char Char Char Char Char"/>
    <w:basedOn w:val="1"/>
    <w:qFormat/>
    <w:uiPriority w:val="0"/>
    <w:rPr>
      <w:rFonts w:ascii="Tahoma" w:hAnsi="Tahoma" w:cs="Tahoma"/>
      <w:sz w:val="30"/>
      <w:szCs w:val="30"/>
    </w:rPr>
  </w:style>
  <w:style w:type="paragraph" w:customStyle="1" w:styleId="150">
    <w:name w:val="样式 标题 3h3H3sect1.2.3 + 五号 段前: 6 磅 段后: 6 磅 行距: 单倍行距"/>
    <w:basedOn w:val="6"/>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51">
    <w:name w:val="Char Char4"/>
    <w:qFormat/>
    <w:uiPriority w:val="0"/>
    <w:rPr>
      <w:rFonts w:ascii="Times New Roman" w:hAnsi="Times New Roman"/>
      <w:kern w:val="2"/>
      <w:sz w:val="24"/>
      <w:szCs w:val="24"/>
    </w:rPr>
  </w:style>
  <w:style w:type="character" w:customStyle="1" w:styleId="152">
    <w:name w:val="Char Char3"/>
    <w:qFormat/>
    <w:uiPriority w:val="0"/>
    <w:rPr>
      <w:rFonts w:ascii="宋体" w:hAnsi="Times New Roman"/>
      <w:sz w:val="21"/>
    </w:rPr>
  </w:style>
  <w:style w:type="character" w:customStyle="1" w:styleId="153">
    <w:name w:val="HTML 预设格式 Char"/>
    <w:basedOn w:val="45"/>
    <w:link w:val="40"/>
    <w:qFormat/>
    <w:uiPriority w:val="0"/>
    <w:rPr>
      <w:rFonts w:ascii="黑体" w:hAnsi="Courier New" w:eastAsia="黑体" w:cs="Courier New"/>
      <w:kern w:val="0"/>
      <w:sz w:val="20"/>
      <w:szCs w:val="20"/>
    </w:rPr>
  </w:style>
  <w:style w:type="character" w:customStyle="1" w:styleId="154">
    <w:name w:val="Char Char"/>
    <w:qFormat/>
    <w:uiPriority w:val="0"/>
    <w:rPr>
      <w:rFonts w:ascii="Times New Roman" w:hAnsi="Times New Roman"/>
      <w:kern w:val="2"/>
      <w:sz w:val="16"/>
      <w:szCs w:val="16"/>
    </w:rPr>
  </w:style>
  <w:style w:type="paragraph" w:customStyle="1" w:styleId="155">
    <w:name w:val="Char1"/>
    <w:basedOn w:val="1"/>
    <w:qFormat/>
    <w:uiPriority w:val="0"/>
    <w:pPr>
      <w:widowControl/>
      <w:spacing w:after="160" w:line="240" w:lineRule="exact"/>
      <w:jc w:val="left"/>
    </w:pPr>
    <w:rPr>
      <w:sz w:val="24"/>
    </w:rPr>
  </w:style>
  <w:style w:type="paragraph" w:customStyle="1" w:styleId="156">
    <w:name w:val="默认段落字体 Para Char"/>
    <w:basedOn w:val="1"/>
    <w:qFormat/>
    <w:uiPriority w:val="0"/>
  </w:style>
  <w:style w:type="paragraph" w:customStyle="1" w:styleId="157">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0">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61">
    <w:name w:val="Char Char2 Char"/>
    <w:basedOn w:val="1"/>
    <w:qFormat/>
    <w:uiPriority w:val="0"/>
    <w:rPr>
      <w:rFonts w:ascii="宋体" w:hAnsi="宋体"/>
      <w:b/>
      <w:sz w:val="28"/>
      <w:szCs w:val="28"/>
    </w:rPr>
  </w:style>
  <w:style w:type="character" w:customStyle="1" w:styleId="162">
    <w:name w:val="Char Char7"/>
    <w:qFormat/>
    <w:uiPriority w:val="0"/>
    <w:rPr>
      <w:rFonts w:ascii="Times New Roman" w:hAnsi="Times New Roman"/>
      <w:kern w:val="2"/>
      <w:sz w:val="21"/>
      <w:szCs w:val="21"/>
    </w:rPr>
  </w:style>
  <w:style w:type="paragraph" w:customStyle="1" w:styleId="163">
    <w:name w:val="Char2"/>
    <w:basedOn w:val="1"/>
    <w:qFormat/>
    <w:uiPriority w:val="0"/>
    <w:pPr>
      <w:widowControl/>
      <w:spacing w:after="160" w:line="240" w:lineRule="exact"/>
      <w:jc w:val="left"/>
    </w:pPr>
    <w:rPr>
      <w:szCs w:val="20"/>
    </w:rPr>
  </w:style>
  <w:style w:type="paragraph" w:customStyle="1" w:styleId="164">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5">
    <w:name w:val="明显参考1"/>
    <w:qFormat/>
    <w:uiPriority w:val="0"/>
    <w:rPr>
      <w:b/>
      <w:bCs/>
      <w:smallCaps/>
      <w:color w:val="C0504D"/>
      <w:spacing w:val="5"/>
      <w:u w:val="single"/>
    </w:rPr>
  </w:style>
  <w:style w:type="character" w:customStyle="1" w:styleId="166">
    <w:name w:val="Comment Text Char"/>
    <w:basedOn w:val="45"/>
    <w:qFormat/>
    <w:locked/>
    <w:uiPriority w:val="0"/>
    <w:rPr>
      <w:rFonts w:ascii="Times New Roman" w:hAnsi="Times New Roman" w:cs="Times New Roman"/>
      <w:kern w:val="2"/>
      <w:sz w:val="24"/>
      <w:szCs w:val="24"/>
    </w:rPr>
  </w:style>
  <w:style w:type="paragraph" w:customStyle="1" w:styleId="167">
    <w:name w:val="列出段落2"/>
    <w:basedOn w:val="1"/>
    <w:qFormat/>
    <w:uiPriority w:val="0"/>
    <w:pPr>
      <w:ind w:firstLine="420" w:firstLineChars="200"/>
    </w:pPr>
    <w:rPr>
      <w:rFonts w:ascii="Calibri" w:hAnsi="Calibri"/>
      <w:szCs w:val="22"/>
    </w:rPr>
  </w:style>
  <w:style w:type="paragraph" w:customStyle="1" w:styleId="168">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69">
    <w:name w:val="样式5"/>
    <w:basedOn w:val="3"/>
    <w:next w:val="3"/>
    <w:qFormat/>
    <w:uiPriority w:val="0"/>
    <w:pPr>
      <w:jc w:val="center"/>
    </w:pPr>
    <w:rPr>
      <w:rFonts w:asciiTheme="minorAscii" w:hAnsiTheme="minorAscii" w:eastAsiaTheme="minorEastAsia"/>
      <w:sz w:val="28"/>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15" textRotate="1"/>
    <customShpInfo spid="_x0000_s4116" textRotate="1"/>
    <customShpInfo spid="_x0000_s4117" textRotate="1"/>
    <customShpInfo spid="_x0000_s4118" textRotate="1"/>
    <customShpInfo spid="_x0000_s4119" textRotate="1"/>
    <customShpInfo spid="_x0000_s4120" textRotate="1"/>
    <customShpInfo spid="_x0000_s4121" textRotate="1"/>
    <customShpInfo spid="_x0000_s4122" textRotate="1"/>
    <customShpInfo spid="_x0000_s412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58D34-1C4A-48DD-BC02-C7A2DD3A4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1620</Words>
  <Characters>9239</Characters>
  <Lines>76</Lines>
  <Paragraphs>21</Paragraphs>
  <TotalTime>3</TotalTime>
  <ScaleCrop>false</ScaleCrop>
  <LinksUpToDate>false</LinksUpToDate>
  <CharactersWithSpaces>10838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2020-03-12T03:57:00Z</dcterms:created>
  <dc:creator>A</dc:creator>
  <cp:lastModifiedBy>i知道1</cp:lastModifiedBy>
  <cp:lastPrinted>2021-07-09T06:47:00Z</cp:lastPrinted>
  <dcterms:modified xsi:type="dcterms:W3CDTF">2021-07-29T02:06:34Z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DFAD4B6BF6DF472D81BE80AEA9B88426</vt:lpwstr>
  </property>
</Properties>
</file>